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F4E79"/>
          <w:sz w:val="30"/>
        </w:rPr>
        <w:t>UNITED NATIONALS COUNTRYLESS CHILDREN (UNCC)</w:t>
      </w:r>
    </w:p>
    <w:p>
      <w:pPr>
        <w:spacing w:after="40"/>
        <w:jc w:val="center"/>
      </w:pPr>
      <w:r>
        <w:rPr>
          <w:b/>
          <w:color w:val="1F4E79"/>
          <w:sz w:val="28"/>
        </w:rPr>
        <w:t>FRAUD RISK MANAGEMENT POLICY</w:t>
      </w:r>
    </w:p>
    <w:p>
      <w:pPr>
        <w:spacing w:after="40"/>
        <w:jc w:val="center"/>
      </w:pPr>
      <w:r>
        <w:rPr>
          <w:b/>
          <w:color w:val="1F4E79"/>
          <w:sz w:val="19"/>
        </w:rPr>
        <w:t>Integrity • Accountability • Donor Stewardship • Zero Tolerance</w:t>
      </w:r>
    </w:p>
    <w:tbl>
      <w:tblPr>
        <w:tblStyle w:val="TableGrid"/>
        <w:tblW w:type="auto" w:w="0"/>
        <w:jc w:val="center"/>
        <w:tblLook w:firstColumn="1" w:firstRow="1" w:lastColumn="0" w:lastRow="0" w:noHBand="0" w:noVBand="1" w:val="04A0"/>
      </w:tblPr>
      <w:tblGrid>
        <w:gridCol w:w="2458"/>
        <w:gridCol w:w="2458"/>
        <w:gridCol w:w="2458"/>
        <w:gridCol w:w="2458"/>
      </w:tblGrid>
      <w:tr>
        <w:tc>
          <w:tcPr>
            <w:tcW w:type="dxa" w:w="2458"/>
            <w:vAlign w:val="center"/>
            <w:shd w:fill="D9EAF7"/>
          </w:tcPr>
          <w:p>
            <w:r>
              <w:rPr>
                <w:b/>
                <w:color w:val="1F4E79"/>
                <w:sz w:val="15"/>
              </w:rPr>
              <w:t>Policy Owner</w:t>
            </w:r>
          </w:p>
        </w:tc>
        <w:tc>
          <w:tcPr>
            <w:tcW w:type="dxa" w:w="2458"/>
            <w:vAlign w:val="center"/>
          </w:tcPr>
          <w:p>
            <w:r>
              <w:rPr>
                <w:sz w:val="15"/>
              </w:rPr>
              <w:t>UNCC Governing Authority / Board</w:t>
            </w:r>
          </w:p>
        </w:tc>
        <w:tc>
          <w:tcPr>
            <w:tcW w:type="dxa" w:w="2458"/>
            <w:vAlign w:val="center"/>
            <w:shd w:fill="D9EAF7"/>
          </w:tcPr>
          <w:p>
            <w:r>
              <w:rPr>
                <w:b/>
                <w:color w:val="1F4E79"/>
                <w:sz w:val="15"/>
              </w:rPr>
              <w:t>Applies To</w:t>
            </w:r>
          </w:p>
        </w:tc>
        <w:tc>
          <w:tcPr>
            <w:tcW w:type="dxa" w:w="2458"/>
            <w:vAlign w:val="center"/>
          </w:tcPr>
          <w:p>
            <w:r>
              <w:rPr>
                <w:sz w:val="15"/>
              </w:rPr>
              <w:t>All UNCC operations, projects and partnerships</w:t>
            </w:r>
          </w:p>
        </w:tc>
      </w:tr>
      <w:tr>
        <w:tc>
          <w:tcPr>
            <w:tcW w:type="dxa" w:w="2458"/>
            <w:vAlign w:val="center"/>
            <w:shd w:fill="D9EAF7"/>
          </w:tcPr>
          <w:p>
            <w:r>
              <w:rPr>
                <w:b/>
                <w:color w:val="1F4E79"/>
                <w:sz w:val="15"/>
              </w:rPr>
              <w:t>Policy Lead</w:t>
            </w:r>
          </w:p>
        </w:tc>
        <w:tc>
          <w:tcPr>
            <w:tcW w:type="dxa" w:w="2458"/>
            <w:vAlign w:val="center"/>
          </w:tcPr>
          <w:p>
            <w:r>
              <w:rPr>
                <w:sz w:val="15"/>
              </w:rPr>
              <w:t>Executive Director / Country Directors</w:t>
            </w:r>
          </w:p>
        </w:tc>
        <w:tc>
          <w:tcPr>
            <w:tcW w:type="dxa" w:w="2458"/>
            <w:vAlign w:val="center"/>
            <w:shd w:fill="D9EAF7"/>
          </w:tcPr>
          <w:p>
            <w:r>
              <w:rPr>
                <w:b/>
                <w:color w:val="1F4E79"/>
                <w:sz w:val="15"/>
              </w:rPr>
              <w:t>Effective Date</w:t>
            </w:r>
          </w:p>
        </w:tc>
        <w:tc>
          <w:tcPr>
            <w:tcW w:type="dxa" w:w="2458"/>
            <w:vAlign w:val="center"/>
          </w:tcPr>
          <w:p>
            <w:r>
              <w:rPr>
                <w:sz w:val="15"/>
              </w:rPr>
              <w:t>29 September 2026</w:t>
            </w:r>
          </w:p>
        </w:tc>
      </w:tr>
      <w:tr>
        <w:tc>
          <w:tcPr>
            <w:tcW w:type="dxa" w:w="2458"/>
            <w:vAlign w:val="center"/>
            <w:shd w:fill="D9EAF7"/>
          </w:tcPr>
          <w:p>
            <w:r>
              <w:rPr>
                <w:b/>
                <w:color w:val="1F4E79"/>
                <w:sz w:val="15"/>
              </w:rPr>
              <w:t>Approval</w:t>
            </w:r>
          </w:p>
        </w:tc>
        <w:tc>
          <w:tcPr>
            <w:tcW w:type="dxa" w:w="2458"/>
            <w:vAlign w:val="center"/>
          </w:tcPr>
          <w:p>
            <w:r>
              <w:rPr>
                <w:sz w:val="15"/>
              </w:rPr>
              <w:t>UNCC Governing Authority</w:t>
            </w:r>
          </w:p>
        </w:tc>
        <w:tc>
          <w:tcPr>
            <w:tcW w:type="dxa" w:w="2458"/>
            <w:vAlign w:val="center"/>
            <w:shd w:fill="D9EAF7"/>
          </w:tcPr>
          <w:p>
            <w:r>
              <w:rPr>
                <w:b/>
                <w:color w:val="1F4E79"/>
                <w:sz w:val="15"/>
              </w:rPr>
              <w:t>Review Date</w:t>
            </w:r>
          </w:p>
        </w:tc>
        <w:tc>
          <w:tcPr>
            <w:tcW w:type="dxa" w:w="2458"/>
            <w:vAlign w:val="center"/>
          </w:tcPr>
          <w:p>
            <w:r>
              <w:rPr>
                <w:sz w:val="15"/>
              </w:rPr>
              <w:t>Annually</w:t>
            </w:r>
          </w:p>
        </w:tc>
      </w:tr>
      <w:tr>
        <w:tc>
          <w:tcPr>
            <w:tcW w:type="dxa" w:w="2458"/>
            <w:vAlign w:val="center"/>
            <w:shd w:fill="D9EAF7"/>
          </w:tcPr>
          <w:p>
            <w:r>
              <w:rPr>
                <w:b/>
                <w:color w:val="1F4E79"/>
                <w:sz w:val="15"/>
              </w:rPr>
              <w:t>Document Status</w:t>
            </w:r>
          </w:p>
        </w:tc>
        <w:tc>
          <w:tcPr>
            <w:tcW w:type="dxa" w:w="2458"/>
            <w:vAlign w:val="center"/>
          </w:tcPr>
          <w:p>
            <w:r>
              <w:rPr>
                <w:sz w:val="15"/>
              </w:rPr>
              <w:t>Controlled Organisation Policy</w:t>
            </w:r>
          </w:p>
        </w:tc>
        <w:tc>
          <w:tcPr>
            <w:tcW w:type="dxa" w:w="2458"/>
            <w:vAlign w:val="center"/>
            <w:shd w:fill="D9EAF7"/>
          </w:tcPr>
          <w:p>
            <w:r>
              <w:rPr>
                <w:b/>
                <w:color w:val="1F4E79"/>
                <w:sz w:val="15"/>
              </w:rPr>
              <w:t>Risk Tolerance</w:t>
            </w:r>
          </w:p>
        </w:tc>
        <w:tc>
          <w:tcPr>
            <w:tcW w:type="dxa" w:w="2458"/>
            <w:vAlign w:val="center"/>
          </w:tcPr>
          <w:p>
            <w:r>
              <w:rPr>
                <w:sz w:val="15"/>
              </w:rPr>
              <w:t>Zero tolerance for fraud, bribery and corruption</w:t>
            </w:r>
          </w:p>
        </w:tc>
      </w:tr>
      <w:tr>
        <w:tc>
          <w:tcPr>
            <w:tcW w:type="dxa" w:w="2458"/>
            <w:vAlign w:val="center"/>
            <w:shd w:fill="D9EAF7"/>
          </w:tcPr>
          <w:p>
            <w:r>
              <w:rPr>
                <w:b/>
                <w:color w:val="1F4E79"/>
                <w:sz w:val="15"/>
              </w:rPr>
              <w:t>Operational Focus</w:t>
            </w:r>
          </w:p>
        </w:tc>
        <w:tc>
          <w:tcPr>
            <w:tcW w:type="dxa" w:w="2458"/>
            <w:vAlign w:val="center"/>
          </w:tcPr>
          <w:p>
            <w:r>
              <w:rPr>
                <w:sz w:val="15"/>
              </w:rPr>
              <w:t>Uganda • Kenya • Australia • Humanitarian Operations</w:t>
            </w:r>
          </w:p>
        </w:tc>
        <w:tc>
          <w:tcPr>
            <w:tcW w:type="dxa" w:w="2458"/>
            <w:vAlign w:val="center"/>
            <w:shd w:fill="D9EAF7"/>
          </w:tcPr>
          <w:p>
            <w:r>
              <w:rPr>
                <w:b/>
                <w:color w:val="1F4E79"/>
                <w:sz w:val="15"/>
              </w:rPr>
              <w:t>Coverage</w:t>
            </w:r>
          </w:p>
        </w:tc>
        <w:tc>
          <w:tcPr>
            <w:tcW w:type="dxa" w:w="2458"/>
            <w:vAlign w:val="center"/>
          </w:tcPr>
          <w:p>
            <w:r>
              <w:rPr>
                <w:sz w:val="15"/>
              </w:rPr>
              <w:t>Staff • Volunteers • Partners • Contractors • Donors' resources</w:t>
            </w:r>
          </w:p>
        </w:tc>
      </w:tr>
    </w:tbl>
    <w:p>
      <w:pPr>
        <w:spacing w:before="140" w:after="20"/>
      </w:pPr>
      <w:r>
        <w:rPr>
          <w:b/>
          <w:color w:val="1F4E79"/>
          <w:sz w:val="20"/>
        </w:rPr>
        <w:t>1. POLICY STATEMENT</w:t>
      </w:r>
    </w:p>
    <w:p>
      <w:pPr>
        <w:spacing w:after="40" w:line="240" w:lineRule="auto"/>
      </w:pPr>
      <w:r>
        <w:t>United Nationals Countryless Children (UNCC) is committed to protecting charitable resources, donor funds, humanitarian supplies and the dignity of the people it serves. UNCC will not tolerate fraud, corruption, bribery, theft, misappropriation, falsification, collusion, diversion of aid, abuse of position or other financial impropriety in any part of its operations.</w:t>
      </w:r>
    </w:p>
    <w:p>
      <w:pPr>
        <w:spacing w:after="40" w:line="240" w:lineRule="auto"/>
      </w:pPr>
      <w:r>
        <w:t>This Policy applies equally to Board members and responsible persons, directors, country leadership, staff, volunteers, project managers, consultants, third-party partners, suppliers, contractors, sub-contractors and any other person acting for, representing or entrusted with resources by UNCC.</w:t>
      </w:r>
    </w:p>
    <w:p>
      <w:pPr>
        <w:spacing w:after="40" w:line="240" w:lineRule="auto"/>
      </w:pPr>
      <w:r>
        <w:t>UNCC's work with seniors aged 65 and above, children, child mothers, persons with disabilities, refugees, host communities and other vulnerable people requires a particularly high standard of integrity. No humanitarian need, emergency or operational pressure authorises fraudulent conduct.</w:t>
      </w:r>
    </w:p>
    <w:p>
      <w:pPr>
        <w:spacing w:before="140" w:after="20"/>
      </w:pPr>
      <w:r>
        <w:rPr>
          <w:b/>
          <w:color w:val="1F4E79"/>
          <w:sz w:val="20"/>
        </w:rPr>
        <w:t>2. PURPOSE</w:t>
      </w:r>
    </w:p>
    <w:p>
      <w:pPr>
        <w:spacing w:after="20"/>
        <w:ind w:left="259" w:hanging="173"/>
      </w:pPr>
      <w:r>
        <w:rPr>
          <w:b/>
          <w:color w:val="1F4E79"/>
        </w:rPr>
        <w:t xml:space="preserve">• </w:t>
      </w:r>
      <w:r>
        <w:t>Establish a clear organisation-wide framework for preventing, identifying, reporting, investigating and responding to suspected fraud.</w:t>
      </w:r>
    </w:p>
    <w:p>
      <w:pPr>
        <w:spacing w:after="20"/>
        <w:ind w:left="259" w:hanging="173"/>
      </w:pPr>
      <w:r>
        <w:rPr>
          <w:b/>
          <w:color w:val="1F4E79"/>
        </w:rPr>
        <w:t xml:space="preserve">• </w:t>
      </w:r>
      <w:r>
        <w:t>Ensure every person working with UNCC understands their responsibility to protect charitable and donor resources.</w:t>
      </w:r>
    </w:p>
    <w:p>
      <w:pPr>
        <w:spacing w:after="20"/>
        <w:ind w:left="259" w:hanging="173"/>
      </w:pPr>
      <w:r>
        <w:rPr>
          <w:b/>
          <w:color w:val="1F4E79"/>
        </w:rPr>
        <w:t xml:space="preserve">• </w:t>
      </w:r>
      <w:r>
        <w:t>Protect beneficiaries from diversion, manipulation, false registration, exploitation and denial of assistance through fraudulent conduct.</w:t>
      </w:r>
    </w:p>
    <w:p>
      <w:pPr>
        <w:spacing w:after="20"/>
        <w:ind w:left="259" w:hanging="173"/>
      </w:pPr>
      <w:r>
        <w:rPr>
          <w:b/>
          <w:color w:val="1F4E79"/>
        </w:rPr>
        <w:t xml:space="preserve">• </w:t>
      </w:r>
      <w:r>
        <w:t>Protect donors and partners by ensuring funds, goods, equipment and services are used only for approved charitable purposes.</w:t>
      </w:r>
    </w:p>
    <w:p>
      <w:pPr>
        <w:spacing w:after="20"/>
        <w:ind w:left="259" w:hanging="173"/>
      </w:pPr>
      <w:r>
        <w:rPr>
          <w:b/>
          <w:color w:val="1F4E79"/>
        </w:rPr>
        <w:t xml:space="preserve">• </w:t>
      </w:r>
      <w:r>
        <w:t>Provide safe reporting channels and protection from retaliation for people who raise concerns in good faith.</w:t>
      </w:r>
    </w:p>
    <w:p>
      <w:pPr>
        <w:spacing w:after="20"/>
        <w:ind w:left="259" w:hanging="173"/>
      </w:pPr>
      <w:r>
        <w:rPr>
          <w:b/>
          <w:color w:val="1F4E79"/>
        </w:rPr>
        <w:t xml:space="preserve">• </w:t>
      </w:r>
      <w:r>
        <w:t>Ensure suspected criminal conduct and material donor-funded irregularities are escalated to the appropriate authority, donor or regulator when legally or contractually required.</w:t>
      </w:r>
    </w:p>
    <w:p>
      <w:pPr>
        <w:spacing w:before="140" w:after="20"/>
      </w:pPr>
      <w:r>
        <w:rPr>
          <w:b/>
          <w:color w:val="1F4E79"/>
          <w:sz w:val="20"/>
        </w:rPr>
        <w:t>3. SCOPE</w:t>
      </w:r>
    </w:p>
    <w:p>
      <w:pPr>
        <w:spacing w:after="40" w:line="240" w:lineRule="auto"/>
      </w:pPr>
      <w:r>
        <w:t>This Policy applies to all UNCC programmes, offices, projects, fundraising, procurement, logistics, transport, warehouses, distributions, beneficiary registration, referrals, payroll, volunteer activities, cash and banking, mobile money, donor grants, in-kind donations and third-party arrangements in Australia, Uganda, Kenya and any other jurisdiction in which UNCC operates.</w:t>
      </w:r>
    </w:p>
    <w:p>
      <w:pPr>
        <w:spacing w:after="40" w:line="240" w:lineRule="auto"/>
      </w:pPr>
      <w:r>
        <w:t>It covers UNCC resources and resources entrusted to UNCC by donors, UN agencies, government, foundations, corporate supporters, humanitarian partners and members of the public.</w:t>
      </w:r>
    </w:p>
    <w:p>
      <w:pPr>
        <w:spacing w:before="140" w:after="20"/>
      </w:pPr>
      <w:r>
        <w:rPr>
          <w:b/>
          <w:color w:val="1F4E79"/>
          <w:sz w:val="20"/>
        </w:rPr>
        <w:t>4. FRAUD RISK TOLERANCE</w:t>
      </w:r>
    </w:p>
    <w:p>
      <w:pPr>
        <w:spacing w:after="40" w:line="240" w:lineRule="auto"/>
      </w:pPr>
      <w:r>
        <w:t>UNCC has ZERO TOLERANCE for fraud, corruption, bribery and deliberate misuse of charitable resources. Zero tolerance means every credible concern will be taken seriously and assessed. It does not mean allegations will be treated as proven without a fair process.</w:t>
      </w:r>
    </w:p>
    <w:p>
      <w:pPr>
        <w:spacing w:after="40" w:line="240" w:lineRule="auto"/>
      </w:pPr>
      <w:r>
        <w:t>UNCC will use risk-based prevention, detection, investigation and corrective action. The position, seniority, relationship, nationality, volunteer status, donor relationship or length of service of a person will not exempt that person from scrutiny.</w:t>
      </w:r>
    </w:p>
    <w:p>
      <w:pPr>
        <w:spacing w:before="140" w:after="20"/>
      </w:pPr>
      <w:r>
        <w:rPr>
          <w:b/>
          <w:color w:val="1F4E79"/>
          <w:sz w:val="20"/>
        </w:rPr>
        <w:t>5. WHAT UNCC CONSIDERS FRAUD OR FINANCIAL IMPROPRIETY</w:t>
      </w:r>
    </w:p>
    <w:p>
      <w:pPr>
        <w:spacing w:after="40" w:line="240" w:lineRule="auto"/>
      </w:pPr>
      <w:r>
        <w:t>Fraud and related misconduct may include, but is not limited to:</w:t>
      </w:r>
    </w:p>
    <w:p>
      <w:pPr>
        <w:spacing w:after="20"/>
        <w:ind w:left="259" w:hanging="173"/>
      </w:pPr>
      <w:r>
        <w:rPr>
          <w:b/>
          <w:color w:val="1F4E79"/>
        </w:rPr>
        <w:t xml:space="preserve">• </w:t>
      </w:r>
      <w:r>
        <w:t>Stealing, diverting or misappropriating cash, donations, food, medicines, eyeglasses, disability equipment, vehicles, fuel, building materials or other humanitarian resources.</w:t>
      </w:r>
    </w:p>
    <w:p>
      <w:pPr>
        <w:spacing w:after="20"/>
        <w:ind w:left="259" w:hanging="173"/>
      </w:pPr>
      <w:r>
        <w:rPr>
          <w:b/>
          <w:color w:val="1F4E79"/>
        </w:rPr>
        <w:t xml:space="preserve">• </w:t>
      </w:r>
      <w:r>
        <w:t>Creating false beneficiaries, ghost workers, false volunteers, duplicate registrations or fabricated distribution lists.</w:t>
      </w:r>
    </w:p>
    <w:p>
      <w:pPr>
        <w:spacing w:after="20"/>
        <w:ind w:left="259" w:hanging="173"/>
      </w:pPr>
      <w:r>
        <w:rPr>
          <w:b/>
          <w:color w:val="1F4E79"/>
        </w:rPr>
        <w:t xml:space="preserve">• </w:t>
      </w:r>
      <w:r>
        <w:t>Falsifying invoices, quotations, receipts, timesheets, payroll records, attendance sheets, beneficiary signatures, monitoring data, project results or donor reports.</w:t>
      </w:r>
    </w:p>
    <w:p>
      <w:pPr>
        <w:spacing w:after="20"/>
        <w:ind w:left="259" w:hanging="173"/>
      </w:pPr>
      <w:r>
        <w:rPr>
          <w:b/>
          <w:color w:val="1F4E79"/>
        </w:rPr>
        <w:t xml:space="preserve">• </w:t>
      </w:r>
      <w:r>
        <w:t>Using donor-restricted funds or goods for an unauthorised project, private benefit or purpose.</w:t>
      </w:r>
    </w:p>
    <w:p>
      <w:pPr>
        <w:spacing w:after="20"/>
        <w:ind w:left="259" w:hanging="173"/>
      </w:pPr>
      <w:r>
        <w:rPr>
          <w:b/>
          <w:color w:val="1F4E79"/>
        </w:rPr>
        <w:t xml:space="preserve">• </w:t>
      </w:r>
      <w:r>
        <w:t>Collusion between staff, volunteers, suppliers, contractors, community representatives or partners to manipulate prices, tenders, procurement or distributions.</w:t>
      </w:r>
    </w:p>
    <w:p>
      <w:pPr>
        <w:spacing w:after="20"/>
        <w:ind w:left="259" w:hanging="173"/>
      </w:pPr>
      <w:r>
        <w:rPr>
          <w:b/>
          <w:color w:val="1F4E79"/>
        </w:rPr>
        <w:t xml:space="preserve">• </w:t>
      </w:r>
      <w:r>
        <w:t>Soliciting or accepting kickbacks, secret commissions, facilitation payments, bribes, gifts or benefits intended to influence an UNCC decision.</w:t>
      </w:r>
    </w:p>
    <w:p>
      <w:pPr>
        <w:spacing w:after="20"/>
        <w:ind w:left="259" w:hanging="173"/>
      </w:pPr>
      <w:r>
        <w:rPr>
          <w:b/>
          <w:color w:val="1F4E79"/>
        </w:rPr>
        <w:t xml:space="preserve">• </w:t>
      </w:r>
      <w:r>
        <w:t>Using UNCC vehicles, property, bank accounts, mobile-money facilities, identity, letterhead or charitable status for unauthorised personal or commercial gain.</w:t>
      </w:r>
    </w:p>
    <w:p>
      <w:pPr>
        <w:spacing w:after="20"/>
        <w:ind w:left="259" w:hanging="173"/>
      </w:pPr>
      <w:r>
        <w:rPr>
          <w:b/>
          <w:color w:val="1F4E79"/>
        </w:rPr>
        <w:t xml:space="preserve">• </w:t>
      </w:r>
      <w:r>
        <w:t>Concealing a conflict of interest or directing contracts, employment, assistance or benefits to relatives, friends or associates without disclosure and lawful approval.</w:t>
      </w:r>
    </w:p>
    <w:p>
      <w:pPr>
        <w:spacing w:after="20"/>
        <w:ind w:left="259" w:hanging="173"/>
      </w:pPr>
      <w:r>
        <w:rPr>
          <w:b/>
          <w:color w:val="1F4E79"/>
        </w:rPr>
        <w:t xml:space="preserve">• </w:t>
      </w:r>
      <w:r>
        <w:t>Knowingly providing false or misleading information to UNCC, a donor, auditor, regulator, beneficiary, partner or competent authority.</w:t>
      </w:r>
    </w:p>
    <w:p>
      <w:pPr>
        <w:spacing w:after="20"/>
        <w:ind w:left="259" w:hanging="173"/>
      </w:pPr>
      <w:r>
        <w:rPr>
          <w:b/>
          <w:color w:val="1F4E79"/>
        </w:rPr>
        <w:t xml:space="preserve">• </w:t>
      </w:r>
      <w:r>
        <w:t>Retaliating against, threatening or disadvantaging a person who reports a concern in good faith.</w:t>
      </w:r>
    </w:p>
    <w:p>
      <w:pPr>
        <w:spacing w:before="140" w:after="20"/>
      </w:pPr>
      <w:r>
        <w:rPr>
          <w:b/>
          <w:color w:val="1F4E79"/>
          <w:sz w:val="20"/>
        </w:rPr>
        <w:t>6. FRAUD RISK MANAGEMENT AND PREVENTION</w:t>
      </w:r>
    </w:p>
    <w:p>
      <w:pPr>
        <w:spacing w:after="40" w:line="240" w:lineRule="auto"/>
      </w:pPr>
      <w:r>
        <w:t>UNCC management shall identify fraud risks within each programme and implement controls proportionate to the value, complexity, location and vulnerability of the activity.</w:t>
      </w:r>
    </w:p>
    <w:p>
      <w:pPr>
        <w:spacing w:after="20"/>
        <w:ind w:left="259" w:hanging="173"/>
      </w:pPr>
      <w:r>
        <w:rPr>
          <w:b/>
          <w:color w:val="1F4E79"/>
        </w:rPr>
        <w:t xml:space="preserve">• </w:t>
      </w:r>
      <w:r>
        <w:t>Segregate, where practicable, the functions of requesting, approving, paying, receiving, recording and reconciling transactions.</w:t>
      </w:r>
    </w:p>
    <w:p>
      <w:pPr>
        <w:spacing w:after="20"/>
        <w:ind w:left="259" w:hanging="173"/>
      </w:pPr>
      <w:r>
        <w:rPr>
          <w:b/>
          <w:color w:val="1F4E79"/>
        </w:rPr>
        <w:t xml:space="preserve">• </w:t>
      </w:r>
      <w:r>
        <w:t>Require documented authorisation for expenditure, procurement, beneficiary distributions and movement of assets.</w:t>
      </w:r>
    </w:p>
    <w:p>
      <w:pPr>
        <w:spacing w:after="20"/>
        <w:ind w:left="259" w:hanging="173"/>
      </w:pPr>
      <w:r>
        <w:rPr>
          <w:b/>
          <w:color w:val="1F4E79"/>
        </w:rPr>
        <w:t xml:space="preserve">• </w:t>
      </w:r>
      <w:r>
        <w:t>Use formal and traceable banking/payment channels where reasonably practicable and reconcile accounts regularly.</w:t>
      </w:r>
    </w:p>
    <w:p>
      <w:pPr>
        <w:spacing w:after="20"/>
        <w:ind w:left="259" w:hanging="173"/>
      </w:pPr>
      <w:r>
        <w:rPr>
          <w:b/>
          <w:color w:val="1F4E79"/>
        </w:rPr>
        <w:t xml:space="preserve">• </w:t>
      </w:r>
      <w:r>
        <w:t>Maintain complete supporting documents, including invoices, receipts, quotations, contracts, delivery notes and beneficiary/distribution records.</w:t>
      </w:r>
    </w:p>
    <w:p>
      <w:pPr>
        <w:spacing w:after="20"/>
        <w:ind w:left="259" w:hanging="173"/>
      </w:pPr>
      <w:r>
        <w:rPr>
          <w:b/>
          <w:color w:val="1F4E79"/>
        </w:rPr>
        <w:t xml:space="preserve">• </w:t>
      </w:r>
      <w:r>
        <w:t>Conduct risk-based due diligence on partners, suppliers, contractors and persons entrusted with significant financial or project responsibility.</w:t>
      </w:r>
    </w:p>
    <w:p>
      <w:pPr>
        <w:spacing w:after="20"/>
        <w:ind w:left="259" w:hanging="173"/>
      </w:pPr>
      <w:r>
        <w:rPr>
          <w:b/>
          <w:color w:val="1F4E79"/>
        </w:rPr>
        <w:t xml:space="preserve">• </w:t>
      </w:r>
      <w:r>
        <w:t>Maintain asset, vehicle, fuel, inventory and donated-goods registers with periodic physical verification.</w:t>
      </w:r>
    </w:p>
    <w:p>
      <w:pPr>
        <w:spacing w:after="20"/>
        <w:ind w:left="259" w:hanging="173"/>
      </w:pPr>
      <w:r>
        <w:rPr>
          <w:b/>
          <w:color w:val="1F4E79"/>
        </w:rPr>
        <w:t xml:space="preserve">• </w:t>
      </w:r>
      <w:r>
        <w:t>Use transparent beneficiary eligibility criteria and verification appropriate to the programme.</w:t>
      </w:r>
    </w:p>
    <w:p>
      <w:pPr>
        <w:spacing w:after="20"/>
        <w:ind w:left="259" w:hanging="173"/>
      </w:pPr>
      <w:r>
        <w:rPr>
          <w:b/>
          <w:color w:val="1F4E79"/>
        </w:rPr>
        <w:t xml:space="preserve">• </w:t>
      </w:r>
      <w:r>
        <w:t>Conduct spot checks, field monitoring, management review and donor/audit verification.</w:t>
      </w:r>
    </w:p>
    <w:p>
      <w:pPr>
        <w:spacing w:after="20"/>
        <w:ind w:left="259" w:hanging="173"/>
      </w:pPr>
      <w:r>
        <w:rPr>
          <w:b/>
          <w:color w:val="1F4E79"/>
        </w:rPr>
        <w:t xml:space="preserve">• </w:t>
      </w:r>
      <w:r>
        <w:t>Train staff and volunteers on fraud warning signs, conflicts of interest and reporting duties.</w:t>
      </w:r>
    </w:p>
    <w:p>
      <w:pPr>
        <w:spacing w:after="20"/>
        <w:ind w:left="259" w:hanging="173"/>
      </w:pPr>
      <w:r>
        <w:rPr>
          <w:b/>
          <w:color w:val="1F4E79"/>
        </w:rPr>
        <w:t xml:space="preserve">• </w:t>
      </w:r>
      <w:r>
        <w:t>Review high-risk transactions, unusual payment patterns, unexplained variances and repeated emergency exceptions.</w:t>
      </w:r>
    </w:p>
    <w:p>
      <w:pPr>
        <w:spacing w:before="140" w:after="20"/>
      </w:pPr>
      <w:r>
        <w:rPr>
          <w:b/>
          <w:color w:val="1F4E79"/>
          <w:sz w:val="20"/>
        </w:rPr>
        <w:t>7. DONOR FUNDS AND RESTRICTED RESOURCES</w:t>
      </w:r>
    </w:p>
    <w:p>
      <w:pPr>
        <w:spacing w:after="40" w:line="240" w:lineRule="auto"/>
      </w:pPr>
      <w:r>
        <w:t>Funds and resources received for a specified project or purpose must be used only for that approved purpose, subject to the donor agreement and lawful written variations. UNCC personnel must not move, borrow, substitute or redirect restricted resources to another project or private purpose without required approval.</w:t>
      </w:r>
    </w:p>
    <w:p>
      <w:pPr>
        <w:spacing w:after="40" w:line="240" w:lineRule="auto"/>
      </w:pPr>
      <w:r>
        <w:t>Material suspected fraud affecting donor-funded resources must be handled in accordance with the donor agreement, including notification requirements, preservation of evidence, access for audit or investigation and recovery of misused funds or assets.</w:t>
      </w:r>
    </w:p>
    <w:p>
      <w:pPr>
        <w:spacing w:before="140" w:after="20"/>
      </w:pPr>
      <w:r>
        <w:rPr>
          <w:b/>
          <w:color w:val="1F4E79"/>
          <w:sz w:val="20"/>
        </w:rPr>
        <w:t>8. PROCUREMENT AND SUPPLY-CHAIN FRAUD</w:t>
      </w:r>
    </w:p>
    <w:p>
      <w:pPr>
        <w:spacing w:after="40" w:line="240" w:lineRule="auto"/>
      </w:pPr>
      <w:r>
        <w:t>Procurement must be conducted fairly, transparently and free from undisclosed conflicts. UNCC prohibits bid rigging, split purchases intended to avoid approval thresholds, inflated quotations, false suppliers, secret commissions, substitution of inferior goods, false delivery confirmations and collusion.</w:t>
      </w:r>
    </w:p>
    <w:p>
      <w:pPr>
        <w:spacing w:after="40" w:line="240" w:lineRule="auto"/>
      </w:pPr>
      <w:r>
        <w:t>Anyone participating in procurement must disclose actual, potential or perceived conflicts of interest and withdraw from a decision where required.</w:t>
      </w:r>
    </w:p>
    <w:p>
      <w:pPr>
        <w:spacing w:before="140" w:after="20"/>
      </w:pPr>
      <w:r>
        <w:rPr>
          <w:b/>
          <w:color w:val="1F4E79"/>
          <w:sz w:val="20"/>
        </w:rPr>
        <w:t>9. BENEFICIARY AND HUMANITARIAN ASSISTANCE FRAUD</w:t>
      </w:r>
    </w:p>
    <w:p>
      <w:pPr>
        <w:spacing w:after="40" w:line="240" w:lineRule="auto"/>
      </w:pPr>
      <w:r>
        <w:t>UNCC assistance must reach eligible beneficiaries without payment, favouritism, coercion or exploitation. No person may demand money, a gift, labour, sexual favour, political support or personal benefit in exchange for registration, referral, food, medicine, transport, shelter, education support or any other UNCC assistance.</w:t>
      </w:r>
    </w:p>
    <w:p>
      <w:pPr>
        <w:spacing w:after="40" w:line="240" w:lineRule="auto"/>
      </w:pPr>
      <w:r>
        <w:t>Particular care must be taken to protect seniors living alone, children, child mothers, persons with disabilities and other people who may have difficulty reporting abuse or challenging authority.</w:t>
      </w:r>
    </w:p>
    <w:p>
      <w:pPr>
        <w:spacing w:before="140" w:after="20"/>
      </w:pPr>
      <w:r>
        <w:rPr>
          <w:b/>
          <w:color w:val="1F4E79"/>
          <w:sz w:val="20"/>
        </w:rPr>
        <w:t>10. FRAUD REPORTING</w:t>
      </w:r>
    </w:p>
    <w:p>
      <w:pPr>
        <w:spacing w:after="40" w:line="240" w:lineRule="auto"/>
      </w:pPr>
      <w:r>
        <w:t>Every UNCC Board member, director, employee, volunteer, project manager, partner, contractor or representative has a responsibility to report a reasonable suspicion of fraud or related misconduct promptly.</w:t>
      </w:r>
    </w:p>
    <w:p>
      <w:pPr>
        <w:spacing w:after="40" w:line="240" w:lineRule="auto"/>
      </w:pPr>
      <w:r>
        <w:t>Reports should normally be made to the person's supervisor, Country Director, Operations Manager or Executive Director. If the concern involves that person, the report must bypass them and be made to another senior authorised person or a member of the UNCC Governing Authority/Board who is not implicated.</w:t>
      </w:r>
    </w:p>
    <w:p>
      <w:pPr>
        <w:spacing w:after="40" w:line="240" w:lineRule="auto"/>
      </w:pPr>
      <w:r>
        <w:t>If the allegation involves the Executive Director or members of the Governing Authority, it must be reported to an independent, non-implicated responsible person and, where required, to the appropriate regulator, donor, law-enforcement authority or other competent body.</w:t>
      </w:r>
    </w:p>
    <w:p>
      <w:pPr>
        <w:spacing w:after="40" w:line="240" w:lineRule="auto"/>
      </w:pPr>
      <w:r>
        <w:t>A reporter is not expected to prove fraud before reporting. Concerns should be made honestly and with the information reasonably available.</w:t>
      </w:r>
    </w:p>
    <w:p>
      <w:pPr>
        <w:spacing w:before="140" w:after="20"/>
      </w:pPr>
      <w:r>
        <w:rPr>
          <w:b/>
          <w:color w:val="1F4E79"/>
          <w:sz w:val="20"/>
        </w:rPr>
        <w:t>11. PROTECTION FROM RETALIATION AND CONFIDENTIALITY</w:t>
      </w:r>
    </w:p>
    <w:p>
      <w:pPr>
        <w:spacing w:after="40" w:line="240" w:lineRule="auto"/>
      </w:pPr>
      <w:r>
        <w:t>UNCC prohibits retaliation against a person who reports suspected wrongdoing in good faith, assists an investigation or refuses to participate in fraudulent conduct. Retaliation itself may constitute serious misconduct.</w:t>
      </w:r>
    </w:p>
    <w:p>
      <w:pPr>
        <w:spacing w:after="40" w:line="240" w:lineRule="auto"/>
      </w:pPr>
      <w:r>
        <w:t>Reports and investigations will be handled as confidentially as reasonably possible. Information may nevertheless need to be disclosed to investigators, legal advisers, donors, regulators, police or other authorities where necessary or required by law.</w:t>
      </w:r>
    </w:p>
    <w:p>
      <w:pPr>
        <w:spacing w:before="140" w:after="20"/>
      </w:pPr>
      <w:r>
        <w:rPr>
          <w:b/>
          <w:color w:val="1F4E79"/>
          <w:sz w:val="20"/>
        </w:rPr>
        <w:t>12. IMMEDIATE ACTION WHEN FRAUD IS SUSPECTED</w:t>
      </w:r>
    </w:p>
    <w:p>
      <w:pPr>
        <w:spacing w:after="20"/>
        <w:ind w:left="259" w:hanging="173"/>
      </w:pPr>
      <w:r>
        <w:rPr>
          <w:b/>
          <w:color w:val="1F4E79"/>
        </w:rPr>
        <w:t xml:space="preserve">• </w:t>
      </w:r>
      <w:r>
        <w:t>Do not destroy, alter, conceal or remove relevant records, devices, receipts, files or other evidence.</w:t>
      </w:r>
    </w:p>
    <w:p>
      <w:pPr>
        <w:spacing w:after="20"/>
        <w:ind w:left="259" w:hanging="173"/>
      </w:pPr>
      <w:r>
        <w:rPr>
          <w:b/>
          <w:color w:val="1F4E79"/>
        </w:rPr>
        <w:t xml:space="preserve">• </w:t>
      </w:r>
      <w:r>
        <w:t>Do not confront a suspected person where doing so may compromise safety, evidence or an investigation.</w:t>
      </w:r>
    </w:p>
    <w:p>
      <w:pPr>
        <w:spacing w:after="20"/>
        <w:ind w:left="259" w:hanging="173"/>
      </w:pPr>
      <w:r>
        <w:rPr>
          <w:b/>
          <w:color w:val="1F4E79"/>
        </w:rPr>
        <w:t xml:space="preserve">• </w:t>
      </w:r>
      <w:r>
        <w:t>Secure vulnerable funds, accounts, stock, vehicles, equipment or systems where authorised and necessary.</w:t>
      </w:r>
    </w:p>
    <w:p>
      <w:pPr>
        <w:spacing w:after="20"/>
        <w:ind w:left="259" w:hanging="173"/>
      </w:pPr>
      <w:r>
        <w:rPr>
          <w:b/>
          <w:color w:val="1F4E79"/>
        </w:rPr>
        <w:t xml:space="preserve">• </w:t>
      </w:r>
      <w:r>
        <w:t>Record the concern factually, including dates, transactions, people involved and available evidence.</w:t>
      </w:r>
    </w:p>
    <w:p>
      <w:pPr>
        <w:spacing w:after="20"/>
        <w:ind w:left="259" w:hanging="173"/>
      </w:pPr>
      <w:r>
        <w:rPr>
          <w:b/>
          <w:color w:val="1F4E79"/>
        </w:rPr>
        <w:t xml:space="preserve">• </w:t>
      </w:r>
      <w:r>
        <w:t>Escalate immediately where there is a risk of continuing loss, beneficiary harm, evidence destruction or criminal conduct.</w:t>
      </w:r>
    </w:p>
    <w:p>
      <w:pPr>
        <w:spacing w:after="20"/>
        <w:ind w:left="259" w:hanging="173"/>
      </w:pPr>
      <w:r>
        <w:rPr>
          <w:b/>
          <w:color w:val="1F4E79"/>
        </w:rPr>
        <w:t xml:space="preserve">• </w:t>
      </w:r>
      <w:r>
        <w:t>Maintain procedural fairness and do not publicly identify an accused person as guilty before findings are established.</w:t>
      </w:r>
    </w:p>
    <w:p>
      <w:pPr>
        <w:spacing w:before="140" w:after="20"/>
      </w:pPr>
      <w:r>
        <w:rPr>
          <w:b/>
          <w:color w:val="1F4E79"/>
          <w:sz w:val="20"/>
        </w:rPr>
        <w:t>13. FRAUD INVESTIGATION</w:t>
      </w:r>
    </w:p>
    <w:p>
      <w:pPr>
        <w:spacing w:after="40" w:line="240" w:lineRule="auto"/>
      </w:pPr>
      <w:r>
        <w:t>UNCC will assess credible allegations promptly and may conduct or commission an objective, impartial and appropriately confidential investigation. Investigators should be independent of the allegation and have suitable competence.</w:t>
      </w:r>
    </w:p>
    <w:p>
      <w:pPr>
        <w:spacing w:after="40" w:line="240" w:lineRule="auto"/>
      </w:pPr>
      <w:r>
        <w:t>The investigation process may include preservation and review of records, interviews, transaction testing, physical verification of assets, review of digital records and consultation with auditors, donors, lawyers or competent authorities.</w:t>
      </w:r>
    </w:p>
    <w:p>
      <w:pPr>
        <w:spacing w:after="40" w:line="240" w:lineRule="auto"/>
      </w:pPr>
      <w:r>
        <w:t>An allegation is not proof. Findings must be based on available evidence and documented. Persons accused of misconduct should be given procedural fairness consistent with safety, safeguarding, legal obligations and the integrity of the investigation.</w:t>
      </w:r>
    </w:p>
    <w:p>
      <w:pPr>
        <w:spacing w:before="140" w:after="20"/>
      </w:pPr>
      <w:r>
        <w:rPr>
          <w:b/>
          <w:color w:val="1F4E79"/>
          <w:sz w:val="20"/>
        </w:rPr>
        <w:t>14. REPORTING TO POLICE, REGULATORS, DONORS AND PARTNERS</w:t>
      </w:r>
    </w:p>
    <w:p>
      <w:pPr>
        <w:spacing w:after="40" w:line="240" w:lineRule="auto"/>
      </w:pPr>
      <w:r>
        <w:t>Where suspected or established fraud may constitute a criminal offence, trigger mandatory reporting, materially affect donor resources or create a serious regulatory risk, UNCC shall consider and make required reports to the appropriate police, regulator, donor or competent authority.</w:t>
      </w:r>
    </w:p>
    <w:p>
      <w:pPr>
        <w:spacing w:after="40" w:line="240" w:lineRule="auto"/>
      </w:pPr>
      <w:r>
        <w:t>In Uganda, reports may be referred to appropriate law-enforcement or anti-corruption authorities according to the nature of the conduct. For Australian charity obligations, UNCC will comply with applicable ACNC and other regulatory requirements relevant to its legal status and overseas activities.</w:t>
      </w:r>
    </w:p>
    <w:p>
      <w:pPr>
        <w:spacing w:after="40" w:line="240" w:lineRule="auto"/>
      </w:pPr>
      <w:r>
        <w:t>Donor notification must be timely where required by grant or partnership conditions. UNCC will not conceal material fraud from a donor where disclosure is legally or contractually required.</w:t>
      </w:r>
    </w:p>
    <w:p>
      <w:pPr>
        <w:spacing w:before="140" w:after="20"/>
      </w:pPr>
      <w:r>
        <w:rPr>
          <w:b/>
          <w:color w:val="1F4E79"/>
          <w:sz w:val="20"/>
        </w:rPr>
        <w:t>15. INVESTIGATION OUTCOMES AND CORRECTIVE ACTION</w:t>
      </w:r>
    </w:p>
    <w:p>
      <w:pPr>
        <w:spacing w:after="40" w:line="240" w:lineRule="auto"/>
      </w:pPr>
      <w:r>
        <w:t>Where misconduct is substantiated, UNCC may take action proportionate to the conduct and applicable law, including:</w:t>
      </w:r>
    </w:p>
    <w:p>
      <w:pPr>
        <w:spacing w:after="20"/>
        <w:ind w:left="259" w:hanging="173"/>
      </w:pPr>
      <w:r>
        <w:rPr>
          <w:b/>
          <w:color w:val="1F4E79"/>
        </w:rPr>
        <w:t xml:space="preserve">• </w:t>
      </w:r>
      <w:r>
        <w:t>Recovery or restitution of funds, goods or assets.</w:t>
      </w:r>
    </w:p>
    <w:p>
      <w:pPr>
        <w:spacing w:after="20"/>
        <w:ind w:left="259" w:hanging="173"/>
      </w:pPr>
      <w:r>
        <w:rPr>
          <w:b/>
          <w:color w:val="1F4E79"/>
        </w:rPr>
        <w:t xml:space="preserve">• </w:t>
      </w:r>
      <w:r>
        <w:t>Withdrawal of financial or delegated authority.</w:t>
      </w:r>
    </w:p>
    <w:p>
      <w:pPr>
        <w:spacing w:after="20"/>
        <w:ind w:left="259" w:hanging="173"/>
      </w:pPr>
      <w:r>
        <w:rPr>
          <w:b/>
          <w:color w:val="1F4E79"/>
        </w:rPr>
        <w:t xml:space="preserve">• </w:t>
      </w:r>
      <w:r>
        <w:t>Disciplinary action, suspension or termination of employment or volunteer engagement.</w:t>
      </w:r>
    </w:p>
    <w:p>
      <w:pPr>
        <w:spacing w:after="20"/>
        <w:ind w:left="259" w:hanging="173"/>
      </w:pPr>
      <w:r>
        <w:rPr>
          <w:b/>
          <w:color w:val="1F4E79"/>
        </w:rPr>
        <w:t xml:space="preserve">• </w:t>
      </w:r>
      <w:r>
        <w:t>Termination or suspension of a supplier, contractor, consultant or partner relationship.</w:t>
      </w:r>
    </w:p>
    <w:p>
      <w:pPr>
        <w:spacing w:after="20"/>
        <w:ind w:left="259" w:hanging="173"/>
      </w:pPr>
      <w:r>
        <w:rPr>
          <w:b/>
          <w:color w:val="1F4E79"/>
        </w:rPr>
        <w:t xml:space="preserve">• </w:t>
      </w:r>
      <w:r>
        <w:t>Referral to police, regulators, donors or other competent authorities.</w:t>
      </w:r>
    </w:p>
    <w:p>
      <w:pPr>
        <w:spacing w:after="20"/>
        <w:ind w:left="259" w:hanging="173"/>
      </w:pPr>
      <w:r>
        <w:rPr>
          <w:b/>
          <w:color w:val="1F4E79"/>
        </w:rPr>
        <w:t xml:space="preserve">• </w:t>
      </w:r>
      <w:r>
        <w:t>Strengthening of controls, training, supervision or procedures.</w:t>
      </w:r>
    </w:p>
    <w:p>
      <w:pPr>
        <w:spacing w:after="20"/>
        <w:ind w:left="259" w:hanging="173"/>
      </w:pPr>
      <w:r>
        <w:rPr>
          <w:b/>
          <w:color w:val="1F4E79"/>
        </w:rPr>
        <w:t xml:space="preserve">• </w:t>
      </w:r>
      <w:r>
        <w:t>Correction of financial statements, donor reports, beneficiary records or project data where necessary.</w:t>
      </w:r>
    </w:p>
    <w:p>
      <w:pPr>
        <w:spacing w:before="140" w:after="20"/>
      </w:pPr>
      <w:r>
        <w:rPr>
          <w:b/>
          <w:color w:val="1F4E79"/>
          <w:sz w:val="20"/>
        </w:rPr>
        <w:t>16. FALSE OR MALICIOUS ALLEGATIONS</w:t>
      </w:r>
    </w:p>
    <w:p>
      <w:pPr>
        <w:spacing w:after="40" w:line="240" w:lineRule="auto"/>
      </w:pPr>
      <w:r>
        <w:t>UNCC encourages good-faith reporting even where a concern is ultimately not substantiated. A person will not be penalised merely because an honestly raised concern is not proven. Deliberately fabricating evidence or knowingly making a maliciously false allegation may, however, constitute misconduct.</w:t>
      </w:r>
    </w:p>
    <w:p>
      <w:pPr>
        <w:spacing w:before="140" w:after="20"/>
      </w:pPr>
      <w:r>
        <w:rPr>
          <w:b/>
          <w:color w:val="1F4E79"/>
          <w:sz w:val="20"/>
        </w:rPr>
        <w:t>17. RESPONSIBILITIES</w:t>
      </w:r>
    </w:p>
    <w:p>
      <w:pPr>
        <w:spacing w:after="20"/>
        <w:ind w:left="259" w:hanging="173"/>
      </w:pPr>
      <w:r>
        <w:rPr>
          <w:b/>
          <w:color w:val="1F4E79"/>
        </w:rPr>
        <w:t xml:space="preserve">• </w:t>
      </w:r>
      <w:r>
        <w:t>UNCC Governing Authority/Board: ultimate governance oversight of fraud-risk management and assurance that appropriate internal controls exist.</w:t>
      </w:r>
    </w:p>
    <w:p>
      <w:pPr>
        <w:spacing w:after="20"/>
        <w:ind w:left="259" w:hanging="173"/>
      </w:pPr>
      <w:r>
        <w:rPr>
          <w:b/>
          <w:color w:val="1F4E79"/>
        </w:rPr>
        <w:t xml:space="preserve">• </w:t>
      </w:r>
      <w:r>
        <w:t>Executive Director: organisation-wide implementation, escalation of material cases, donor/regulatory accountability and authorisation of independent investigations where appropriate.</w:t>
      </w:r>
    </w:p>
    <w:p>
      <w:pPr>
        <w:spacing w:after="20"/>
        <w:ind w:left="259" w:hanging="173"/>
      </w:pPr>
      <w:r>
        <w:rPr>
          <w:b/>
          <w:color w:val="1F4E79"/>
        </w:rPr>
        <w:t xml:space="preserve">• </w:t>
      </w:r>
      <w:r>
        <w:t>Country Directors and Operations Management: country-level fraud-risk assessment, prevention, supervision, immediate escalation and preservation of records.</w:t>
      </w:r>
    </w:p>
    <w:p>
      <w:pPr>
        <w:spacing w:after="20"/>
        <w:ind w:left="259" w:hanging="173"/>
      </w:pPr>
      <w:r>
        <w:rPr>
          <w:b/>
          <w:color w:val="1F4E79"/>
        </w:rPr>
        <w:t xml:space="preserve">• </w:t>
      </w:r>
      <w:r>
        <w:t>Finance/Administration: transaction controls, reconciliations, financial records, exception reporting, audit support and protection of banking/payment systems.</w:t>
      </w:r>
    </w:p>
    <w:p>
      <w:pPr>
        <w:spacing w:after="20"/>
        <w:ind w:left="259" w:hanging="173"/>
      </w:pPr>
      <w:r>
        <w:rPr>
          <w:b/>
          <w:color w:val="1F4E79"/>
        </w:rPr>
        <w:t xml:space="preserve">• </w:t>
      </w:r>
      <w:r>
        <w:t>Project Managers: protect project resources, verify delivery, maintain accurate evidence and report variances or suspected wrongdoing.</w:t>
      </w:r>
    </w:p>
    <w:p>
      <w:pPr>
        <w:spacing w:after="20"/>
        <w:ind w:left="259" w:hanging="173"/>
      </w:pPr>
      <w:r>
        <w:rPr>
          <w:b/>
          <w:color w:val="1F4E79"/>
        </w:rPr>
        <w:t xml:space="preserve">• </w:t>
      </w:r>
      <w:r>
        <w:t>Managers/Supervisors: understand fraud risks in their areas, educate teams, monitor controls and facilitate safe reporting.</w:t>
      </w:r>
    </w:p>
    <w:p>
      <w:pPr>
        <w:spacing w:after="20"/>
        <w:ind w:left="259" w:hanging="173"/>
      </w:pPr>
      <w:r>
        <w:rPr>
          <w:b/>
          <w:color w:val="1F4E79"/>
        </w:rPr>
        <w:t xml:space="preserve">• </w:t>
      </w:r>
      <w:r>
        <w:t>All staff, volunteers, partners and contractors: act honestly, comply with controls, disclose conflicts, protect resources and report reasonable suspicions.</w:t>
      </w:r>
    </w:p>
    <w:p>
      <w:pPr>
        <w:spacing w:before="140" w:after="20"/>
      </w:pPr>
      <w:r>
        <w:rPr>
          <w:b/>
          <w:color w:val="1F4E79"/>
          <w:sz w:val="20"/>
        </w:rPr>
        <w:t>18. RECORDS, MONITORING AND AUDIT</w:t>
      </w:r>
    </w:p>
    <w:p>
      <w:pPr>
        <w:spacing w:after="40" w:line="240" w:lineRule="auto"/>
      </w:pPr>
      <w:r>
        <w:t>UNCC shall maintain appropriate records of fraud-risk assessments, allegations, investigations, findings, corrective actions, losses, recoveries and control improvements, subject to privacy, safeguarding and legal requirements. Fraud controls may be reviewed through internal checks, management reviews, donor monitoring and independent audit.</w:t>
      </w:r>
    </w:p>
    <w:p>
      <w:pPr>
        <w:spacing w:before="140" w:after="20"/>
      </w:pPr>
      <w:r>
        <w:rPr>
          <w:b/>
          <w:color w:val="1F4E79"/>
          <w:sz w:val="20"/>
        </w:rPr>
        <w:t>19. LEGAL, REGULATORY AND DONOR FRAMEWORK</w:t>
      </w:r>
    </w:p>
    <w:p>
      <w:pPr>
        <w:spacing w:after="40" w:line="240" w:lineRule="auto"/>
      </w:pPr>
      <w:r>
        <w:t>This Policy is intended to operate consistently with UNCC's governing documents, applicable donor agreements and the laws of each jurisdiction in which UNCC operates. Relevant frameworks may include Uganda's NGO regulatory requirements and applicable anti-corruption, criminal, anti-money-laundering, employment and data-protection laws; and, for Australian charity activities and overseas operations where applicable, ACNC Governance Standards and External Conduct Standards.</w:t>
      </w:r>
    </w:p>
    <w:p>
      <w:pPr>
        <w:spacing w:after="40" w:line="240" w:lineRule="auto"/>
      </w:pPr>
      <w:r>
        <w:t>Where a donor, UN agency or partner agreement imposes stricter lawful fraud-control, investigation, notification, audit or record-keeping requirements, those requirements must also be followed.</w:t>
      </w:r>
    </w:p>
    <w:p>
      <w:pPr>
        <w:spacing w:before="140" w:after="20"/>
      </w:pPr>
      <w:r>
        <w:rPr>
          <w:b/>
          <w:color w:val="1F4E79"/>
          <w:sz w:val="20"/>
        </w:rPr>
        <w:t>20. RELATED UNCC POLICIES</w:t>
      </w:r>
    </w:p>
    <w:p>
      <w:pPr>
        <w:spacing w:after="40" w:line="240" w:lineRule="auto"/>
      </w:pPr>
      <w:r>
        <w:t>This Policy should be read with UNCC's Project Management Policy, Finance Policy, Procurement Policy, Conflict of Interest Policy, Whistleblower Policy, Safeguarding and Child Protection Policy, PSEA Policy, Data Protection/Privacy Policy, Code of Conduct, Risk Management Policy, Complaints Policy and partner/contractor due-diligence procedures, as adopted or amended from time to time.</w:t>
      </w:r>
    </w:p>
    <w:p>
      <w:pPr>
        <w:spacing w:before="140" w:after="20"/>
      </w:pPr>
      <w:r>
        <w:rPr>
          <w:b/>
          <w:color w:val="1F4E79"/>
          <w:sz w:val="20"/>
        </w:rPr>
        <w:t>21. REVIEW OF THIS POLICY</w:t>
      </w:r>
    </w:p>
    <w:p>
      <w:pPr>
        <w:spacing w:after="40" w:line="240" w:lineRule="auto"/>
      </w:pPr>
      <w:r>
        <w:t>This Policy shall be reviewed annually and earlier where required by a serious incident, audit finding, donor requirement, material operational change or change in applicable law or regulation. Recommendations for material amendment shall be submitted to the UNCC Governing Authority/Board for approval.</w:t>
      </w:r>
    </w:p>
    <w:p>
      <w:pPr>
        <w:spacing w:before="140" w:after="20"/>
      </w:pPr>
      <w:r>
        <w:rPr>
          <w:b/>
          <w:color w:val="1F4E79"/>
          <w:sz w:val="20"/>
        </w:rPr>
        <w:t>POLICY APPROVAL</w:t>
      </w:r>
    </w:p>
    <w:p>
      <w:pPr>
        <w:spacing w:after="40" w:line="240" w:lineRule="auto"/>
      </w:pPr>
      <w:r>
        <w:t>Approved for United Nationals Countryless Children (UNCC):</w:t>
        <w:br/>
        <w:br/>
        <w:t>Name: ____________________________________________</w:t>
        <w:br/>
        <w:t>Title: _____________________________________________</w:t>
        <w:br/>
        <w:t>Signature: _________________________________________</w:t>
        <w:br/>
        <w:t>Date: _____________________________________________</w:t>
        <w:br/>
        <w:t>Official Stamp: ____________________________________</w:t>
      </w:r>
    </w:p>
    <w:p>
      <w:pPr>
        <w:spacing w:before="160"/>
        <w:jc w:val="center"/>
      </w:pPr>
      <w:r>
        <w:rPr>
          <w:b/>
          <w:color w:val="1F4E79"/>
          <w:sz w:val="21"/>
        </w:rPr>
        <w:t>UNCC — SENIORS FIRST • LEAVING NO ONE BEHIND.</w:t>
      </w:r>
    </w:p>
    <w:sectPr w:rsidR="00FC693F" w:rsidRPr="0006063C" w:rsidSect="00034616">
      <w:headerReference w:type="default" r:id="rId9"/>
      <w:footerReference w:type="default" r:id="rId10"/>
      <w:headerReference w:type="first" r:id="rId12"/>
      <w:footerReference w:type="first" r:id="rId13"/>
      <w:pgSz w:w="11906" w:h="16838"/>
      <w:pgMar w:top="2232" w:right="1037" w:bottom="1037" w:left="1037" w:header="113" w:footer="11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drawing>
        <wp:inline xmlns:a="http://schemas.openxmlformats.org/drawingml/2006/main" xmlns:pic="http://schemas.openxmlformats.org/drawingml/2006/picture">
          <wp:extent cx="7416000" cy="1209054"/>
          <wp:docPr id="1" name="Picture 1"/>
          <wp:cNvGraphicFramePr>
            <a:graphicFrameLocks noChangeAspect="1"/>
          </wp:cNvGraphicFramePr>
          <a:graphic>
            <a:graphicData uri="http://schemas.openxmlformats.org/drawingml/2006/picture">
              <pic:pic>
                <pic:nvPicPr>
                  <pic:cNvPr id="0" name="uncc_unhcr_footer.png"/>
                  <pic:cNvPicPr/>
                </pic:nvPicPr>
                <pic:blipFill>
                  <a:blip r:embed="rId2"/>
                  <a:stretch>
                    <a:fillRect/>
                  </a:stretch>
                </pic:blipFill>
                <pic:spPr>
                  <a:xfrm>
                    <a:off x="0" y="0"/>
                    <a:ext cx="7416000" cy="1209054"/>
                  </a:xfrm>
                  <a:prstGeom prst="rect"/>
                </pic:spPr>
              </pic:pic>
            </a:graphicData>
          </a:graphic>
        </wp:inline>
      </w:drawing>
    </w:r>
  </w:p>
  <w:p>
    <w:pPr>
      <w:spacing w:before="0" w:after="0"/>
      <w:jc w:val="center"/>
    </w:pPr>
    <w:r>
      <w:rPr>
        <w:sz w:val="14"/>
      </w:rPr>
      <w:t xml:space="preserve">UNCC - Uganda Driver Code of Conduct  |  Page </w:t>
    </w:r>
    <w:fldSimple w:instr="PAGE"/>
    <w:r>
      <w:rPr>
        <w:sz w:val="14"/>
      </w:rPr>
      <w:t xml:space="preserve"> of </w:t>
    </w:r>
    <w:fldSimple w:instr="NUMPAGES"/>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drawing>
        <wp:inline xmlns:a="http://schemas.openxmlformats.org/drawingml/2006/main" xmlns:pic="http://schemas.openxmlformats.org/drawingml/2006/picture">
          <wp:extent cx="7416000" cy="2143962"/>
          <wp:docPr id="1" name="Picture 1"/>
          <wp:cNvGraphicFramePr>
            <a:graphicFrameLocks noChangeAspect="1"/>
          </wp:cNvGraphicFramePr>
          <a:graphic>
            <a:graphicData uri="http://schemas.openxmlformats.org/drawingml/2006/picture">
              <pic:pic>
                <pic:nvPicPr>
                  <pic:cNvPr id="0" name="uncc_unhcr_header.png"/>
                  <pic:cNvPicPr/>
                </pic:nvPicPr>
                <pic:blipFill>
                  <a:blip r:embed="rId3"/>
                  <a:stretch>
                    <a:fillRect/>
                  </a:stretch>
                </pic:blipFill>
                <pic:spPr>
                  <a:xfrm>
                    <a:off x="0" y="0"/>
                    <a:ext cx="7416000" cy="2143962"/>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7558A"/>
      <w:sz w:val="3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0A83C6"/>
      <w:sz w:val="25"/>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Aptos Display" w:hAnsi="Aptos Display"/>
      <w:b/>
      <w:bCs/>
      <w:color w:val="17324D"/>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40" w:line="240" w:lineRule="auto" w:before="80"/>
      <w:contextualSpacing/>
    </w:pPr>
    <w:rPr>
      <w:rFonts w:asciiTheme="majorHAnsi" w:eastAsiaTheme="majorEastAsia" w:hAnsiTheme="majorHAnsi" w:cstheme="majorBidi" w:ascii="Aptos Display" w:hAnsi="Aptos Display"/>
      <w:b/>
      <w:color w:val="07558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3.pn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UNCC - UNHCR Partnership Submission - 29 September 2026</dc:title>
  <dc:subject>UNCC-UNHCR Partnership Meeting, Yoro UNHCR Office / DRC</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