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color w:val="1F4E79"/>
          <w:sz w:val="30"/>
        </w:rPr>
        <w:t>UNITED NATIONALS COUNTRYLESS CHILDREN (UNCC)</w:t>
      </w:r>
    </w:p>
    <w:p>
      <w:pPr>
        <w:spacing w:after="40"/>
        <w:jc w:val="center"/>
      </w:pPr>
      <w:r>
        <w:rPr>
          <w:b/>
          <w:color w:val="1F4E79"/>
          <w:sz w:val="26"/>
        </w:rPr>
        <w:t>PROJECT MANAGEMENT POLICY</w:t>
      </w:r>
    </w:p>
    <w:p>
      <w:pPr>
        <w:spacing w:after="40"/>
        <w:jc w:val="center"/>
      </w:pPr>
      <w:r>
        <w:rPr>
          <w:b/>
          <w:color w:val="1F4E79"/>
          <w:sz w:val="19"/>
        </w:rPr>
        <w:t>Governance • Accountability • Safeguarding • Results • Donor Stewardship</w:t>
      </w:r>
    </w:p>
    <w:tbl>
      <w:tblPr>
        <w:tblStyle w:val="TableGrid"/>
        <w:tblW w:type="auto" w:w="0"/>
        <w:jc w:val="center"/>
        <w:tblLook w:firstColumn="1" w:firstRow="1" w:lastColumn="0" w:lastRow="0" w:noHBand="0" w:noVBand="1" w:val="04A0"/>
      </w:tblPr>
      <w:tblGrid>
        <w:gridCol w:w="2472"/>
        <w:gridCol w:w="2472"/>
        <w:gridCol w:w="2472"/>
        <w:gridCol w:w="2472"/>
      </w:tblGrid>
      <w:tr>
        <w:tc>
          <w:tcPr>
            <w:tcW w:type="dxa" w:w="2472"/>
            <w:vAlign w:val="center"/>
            <w:shd w:fill="D9EAF7"/>
          </w:tcPr>
          <w:p>
            <w:r>
              <w:rPr>
                <w:b/>
                <w:color w:val="1F4E79"/>
                <w:sz w:val="15"/>
              </w:rPr>
              <w:t>Policy Owner</w:t>
            </w:r>
          </w:p>
        </w:tc>
        <w:tc>
          <w:tcPr>
            <w:tcW w:type="dxa" w:w="2472"/>
            <w:vAlign w:val="center"/>
          </w:tcPr>
          <w:p>
            <w:r>
              <w:rPr>
                <w:sz w:val="15"/>
              </w:rPr>
              <w:t>UNCC Board / Executive Director</w:t>
            </w:r>
          </w:p>
        </w:tc>
        <w:tc>
          <w:tcPr>
            <w:tcW w:type="dxa" w:w="2472"/>
            <w:vAlign w:val="center"/>
            <w:shd w:fill="D9EAF7"/>
          </w:tcPr>
          <w:p>
            <w:r>
              <w:rPr>
                <w:b/>
                <w:color w:val="1F4E79"/>
                <w:sz w:val="15"/>
              </w:rPr>
              <w:t>Applies To</w:t>
            </w:r>
          </w:p>
        </w:tc>
        <w:tc>
          <w:tcPr>
            <w:tcW w:type="dxa" w:w="2472"/>
            <w:vAlign w:val="center"/>
          </w:tcPr>
          <w:p>
            <w:r>
              <w:rPr>
                <w:sz w:val="15"/>
              </w:rPr>
              <w:t>UNCC Australia, Uganda, Kenya and authorised projects</w:t>
            </w:r>
          </w:p>
        </w:tc>
      </w:tr>
      <w:tr>
        <w:tc>
          <w:tcPr>
            <w:tcW w:type="dxa" w:w="2472"/>
            <w:vAlign w:val="center"/>
            <w:shd w:fill="D9EAF7"/>
          </w:tcPr>
          <w:p>
            <w:r>
              <w:rPr>
                <w:b/>
                <w:color w:val="1F4E79"/>
                <w:sz w:val="15"/>
              </w:rPr>
              <w:t>Policy Lead</w:t>
            </w:r>
          </w:p>
        </w:tc>
        <w:tc>
          <w:tcPr>
            <w:tcW w:type="dxa" w:w="2472"/>
            <w:vAlign w:val="center"/>
          </w:tcPr>
          <w:p>
            <w:r>
              <w:rPr>
                <w:sz w:val="15"/>
              </w:rPr>
              <w:t>Executive Director / Country Directors</w:t>
            </w:r>
          </w:p>
        </w:tc>
        <w:tc>
          <w:tcPr>
            <w:tcW w:type="dxa" w:w="2472"/>
            <w:vAlign w:val="center"/>
            <w:shd w:fill="D9EAF7"/>
          </w:tcPr>
          <w:p>
            <w:r>
              <w:rPr>
                <w:b/>
                <w:color w:val="1F4E79"/>
                <w:sz w:val="15"/>
              </w:rPr>
              <w:t>Effective Date</w:t>
            </w:r>
          </w:p>
        </w:tc>
        <w:tc>
          <w:tcPr>
            <w:tcW w:type="dxa" w:w="2472"/>
            <w:vAlign w:val="center"/>
          </w:tcPr>
          <w:p>
            <w:r>
              <w:rPr>
                <w:sz w:val="15"/>
              </w:rPr>
              <w:t>29 September 2026</w:t>
            </w:r>
          </w:p>
        </w:tc>
      </w:tr>
      <w:tr>
        <w:tc>
          <w:tcPr>
            <w:tcW w:type="dxa" w:w="2472"/>
            <w:vAlign w:val="center"/>
            <w:shd w:fill="D9EAF7"/>
          </w:tcPr>
          <w:p>
            <w:r>
              <w:rPr>
                <w:b/>
                <w:color w:val="1F4E79"/>
                <w:sz w:val="15"/>
              </w:rPr>
              <w:t>Approval</w:t>
            </w:r>
          </w:p>
        </w:tc>
        <w:tc>
          <w:tcPr>
            <w:tcW w:type="dxa" w:w="2472"/>
            <w:vAlign w:val="center"/>
          </w:tcPr>
          <w:p>
            <w:r>
              <w:rPr>
                <w:sz w:val="15"/>
              </w:rPr>
              <w:t>UNCC Governing Authority</w:t>
            </w:r>
          </w:p>
        </w:tc>
        <w:tc>
          <w:tcPr>
            <w:tcW w:type="dxa" w:w="2472"/>
            <w:vAlign w:val="center"/>
            <w:shd w:fill="D9EAF7"/>
          </w:tcPr>
          <w:p>
            <w:r>
              <w:rPr>
                <w:b/>
                <w:color w:val="1F4E79"/>
                <w:sz w:val="15"/>
              </w:rPr>
              <w:t>Review Cycle</w:t>
            </w:r>
          </w:p>
        </w:tc>
        <w:tc>
          <w:tcPr>
            <w:tcW w:type="dxa" w:w="2472"/>
            <w:vAlign w:val="center"/>
          </w:tcPr>
          <w:p>
            <w:r>
              <w:rPr>
                <w:sz w:val="15"/>
              </w:rPr>
              <w:t>At least every 2 years or earlier if required</w:t>
            </w:r>
          </w:p>
        </w:tc>
      </w:tr>
      <w:tr>
        <w:tc>
          <w:tcPr>
            <w:tcW w:type="dxa" w:w="2472"/>
            <w:vAlign w:val="center"/>
            <w:shd w:fill="D9EAF7"/>
          </w:tcPr>
          <w:p>
            <w:r>
              <w:rPr>
                <w:b/>
                <w:color w:val="1F4E79"/>
                <w:sz w:val="15"/>
              </w:rPr>
              <w:t>Document Status</w:t>
            </w:r>
          </w:p>
        </w:tc>
        <w:tc>
          <w:tcPr>
            <w:tcW w:type="dxa" w:w="2472"/>
            <w:vAlign w:val="center"/>
          </w:tcPr>
          <w:p>
            <w:r>
              <w:rPr>
                <w:sz w:val="15"/>
              </w:rPr>
              <w:t>Controlled Policy</w:t>
            </w:r>
          </w:p>
        </w:tc>
        <w:tc>
          <w:tcPr>
            <w:tcW w:type="dxa" w:w="2472"/>
            <w:vAlign w:val="center"/>
            <w:shd w:fill="D9EAF7"/>
          </w:tcPr>
          <w:p>
            <w:r>
              <w:rPr>
                <w:b/>
                <w:color w:val="1F4E79"/>
                <w:sz w:val="15"/>
              </w:rPr>
              <w:t>Classification</w:t>
            </w:r>
          </w:p>
        </w:tc>
        <w:tc>
          <w:tcPr>
            <w:tcW w:type="dxa" w:w="2472"/>
            <w:vAlign w:val="center"/>
          </w:tcPr>
          <w:p>
            <w:r>
              <w:rPr>
                <w:sz w:val="15"/>
              </w:rPr>
              <w:t>Organisation-wide</w:t>
            </w:r>
          </w:p>
        </w:tc>
      </w:tr>
      <w:tr>
        <w:tc>
          <w:tcPr>
            <w:tcW w:type="dxa" w:w="2472"/>
            <w:vAlign w:val="center"/>
            <w:shd w:fill="D9EAF7"/>
          </w:tcPr>
          <w:p>
            <w:r>
              <w:rPr>
                <w:b/>
                <w:color w:val="1F4E79"/>
                <w:sz w:val="15"/>
              </w:rPr>
              <w:t>Related Areas</w:t>
            </w:r>
          </w:p>
        </w:tc>
        <w:tc>
          <w:tcPr>
            <w:tcW w:type="dxa" w:w="2472"/>
            <w:vAlign w:val="center"/>
          </w:tcPr>
          <w:p>
            <w:r>
              <w:rPr>
                <w:sz w:val="15"/>
              </w:rPr>
              <w:t>Finance, Procurement, Safeguarding, PSEA, Data Protection, Risk, M&amp;E</w:t>
            </w:r>
          </w:p>
        </w:tc>
        <w:tc>
          <w:tcPr>
            <w:tcW w:type="dxa" w:w="2472"/>
            <w:vAlign w:val="center"/>
            <w:shd w:fill="D9EAF7"/>
          </w:tcPr>
          <w:p>
            <w:r>
              <w:rPr>
                <w:b/>
                <w:color w:val="1F4E79"/>
                <w:sz w:val="15"/>
              </w:rPr>
              <w:t>Donor Principle</w:t>
            </w:r>
          </w:p>
        </w:tc>
        <w:tc>
          <w:tcPr>
            <w:tcW w:type="dxa" w:w="2472"/>
            <w:vAlign w:val="center"/>
          </w:tcPr>
          <w:p>
            <w:r>
              <w:rPr>
                <w:sz w:val="15"/>
              </w:rPr>
              <w:t>Restricted funds used only for approved purposes</w:t>
            </w:r>
          </w:p>
        </w:tc>
      </w:tr>
    </w:tbl>
    <w:p>
      <w:pPr>
        <w:spacing w:before="120" w:after="20"/>
      </w:pPr>
      <w:r>
        <w:rPr>
          <w:b/>
          <w:color w:val="1F4E79"/>
          <w:sz w:val="20"/>
        </w:rPr>
        <w:t>1. POLICY STATEMENT</w:t>
      </w:r>
    </w:p>
    <w:p>
      <w:pPr>
        <w:spacing w:after="40" w:line="240" w:lineRule="auto"/>
      </w:pPr>
      <w:r>
        <w:t>United Nationals Countryless Children (UNCC) manages charitable and humanitarian projects to achieve measurable benefits for seniors, children, child mothers, persons with disabilities, refugees, host communities and other vulnerable people. This Policy establishes the minimum governance, design, approval, implementation, financial-control, safeguarding, monitoring, evaluation, reporting and closure requirements for every UNCC project.</w:t>
      </w:r>
    </w:p>
    <w:p>
      <w:pPr>
        <w:spacing w:after="40" w:line="240" w:lineRule="auto"/>
      </w:pPr>
      <w:r>
        <w:t>UNCC will manage projects lawfully, ethically, transparently and in accordance with its charitable purposes, approved budgets, donor conditions, contractual commitments and the laws of the countries in which it operates. Project urgency does not remove requirements for safeguarding, financial accountability, risk management or appropriate authorisation.</w:t>
      </w:r>
    </w:p>
    <w:p>
      <w:pPr>
        <w:spacing w:before="120" w:after="20"/>
      </w:pPr>
      <w:r>
        <w:rPr>
          <w:b/>
          <w:color w:val="1F4E79"/>
          <w:sz w:val="20"/>
        </w:rPr>
        <w:t>2. PURPOSE</w:t>
      </w:r>
    </w:p>
    <w:p>
      <w:pPr>
        <w:spacing w:after="20"/>
        <w:ind w:left="259" w:hanging="173"/>
      </w:pPr>
      <w:r>
        <w:rPr>
          <w:b/>
          <w:color w:val="1F4E79"/>
        </w:rPr>
        <w:t xml:space="preserve">• </w:t>
      </w:r>
      <w:r>
        <w:t>Ensure every project advances UNCC's charitable purpose and documented community needs.</w:t>
      </w:r>
    </w:p>
    <w:p>
      <w:pPr>
        <w:spacing w:after="20"/>
        <w:ind w:left="259" w:hanging="173"/>
      </w:pPr>
      <w:r>
        <w:rPr>
          <w:b/>
          <w:color w:val="1F4E79"/>
        </w:rPr>
        <w:t xml:space="preserve">• </w:t>
      </w:r>
      <w:r>
        <w:t>Protect beneficiaries, particularly seniors, children, child mothers, persons with disabilities and other vulnerable people.</w:t>
      </w:r>
    </w:p>
    <w:p>
      <w:pPr>
        <w:spacing w:after="20"/>
        <w:ind w:left="259" w:hanging="173"/>
      </w:pPr>
      <w:r>
        <w:rPr>
          <w:b/>
          <w:color w:val="1F4E79"/>
        </w:rPr>
        <w:t xml:space="preserve">• </w:t>
      </w:r>
      <w:r>
        <w:t>Protect donor funds, donated goods, vehicles, equipment and other resources from misuse, diversion, fraud, corruption or waste.</w:t>
      </w:r>
    </w:p>
    <w:p>
      <w:pPr>
        <w:spacing w:after="20"/>
        <w:ind w:left="259" w:hanging="173"/>
      </w:pPr>
      <w:r>
        <w:rPr>
          <w:b/>
          <w:color w:val="1F4E79"/>
        </w:rPr>
        <w:t xml:space="preserve">• </w:t>
      </w:r>
      <w:r>
        <w:t>Establish clear authority, accountability and segregation of duties throughout the project life cycle.</w:t>
      </w:r>
    </w:p>
    <w:p>
      <w:pPr>
        <w:spacing w:after="20"/>
        <w:ind w:left="259" w:hanging="173"/>
      </w:pPr>
      <w:r>
        <w:rPr>
          <w:b/>
          <w:color w:val="1F4E79"/>
        </w:rPr>
        <w:t xml:space="preserve">• </w:t>
      </w:r>
      <w:r>
        <w:t>Provide donors and partners with credible evidence of outputs, outcomes, expenditure, risks, lessons and impact.</w:t>
      </w:r>
    </w:p>
    <w:p>
      <w:pPr>
        <w:spacing w:after="20"/>
        <w:ind w:left="259" w:hanging="173"/>
      </w:pPr>
      <w:r>
        <w:rPr>
          <w:b/>
          <w:color w:val="1F4E79"/>
        </w:rPr>
        <w:t xml:space="preserve">• </w:t>
      </w:r>
      <w:r>
        <w:t>Promote community participation, informed consent, dignity, impartiality and accountability to affected people.</w:t>
      </w:r>
    </w:p>
    <w:p>
      <w:pPr>
        <w:spacing w:before="120" w:after="20"/>
      </w:pPr>
      <w:r>
        <w:rPr>
          <w:b/>
          <w:color w:val="1F4E79"/>
          <w:sz w:val="20"/>
        </w:rPr>
        <w:t>3. SCOPE</w:t>
      </w:r>
    </w:p>
    <w:p>
      <w:pPr>
        <w:spacing w:after="40" w:line="240" w:lineRule="auto"/>
      </w:pPr>
      <w:r>
        <w:t>This Policy applies to UNCC Board members, directors, country leadership, staff, volunteers, project managers, consultants, contractors, implementing partners, sub-partners and any person managing or using UNCC or donor resources. It applies to projects funded by donors, grants, UN agencies, government, foundations, corporate partners, public donations, in-kind donations and founder-supported resources.</w:t>
      </w:r>
    </w:p>
    <w:p>
      <w:pPr>
        <w:spacing w:after="40" w:line="240" w:lineRule="auto"/>
      </w:pPr>
      <w:r>
        <w:t>The source policy supplied for development of this document emphasises that project-management requirements should apply to directors, staff, partners, contractors and volunteers; charitable funds should be restricted to approved projects; vulnerable people should be protected; records maintained; and projects should move through identification/design, assessment, monitoring and evaluation.</w:t>
      </w:r>
    </w:p>
    <w:p>
      <w:pPr>
        <w:spacing w:before="120" w:after="20"/>
      </w:pPr>
      <w:r>
        <w:rPr>
          <w:b/>
          <w:color w:val="1F4E79"/>
          <w:sz w:val="20"/>
        </w:rPr>
        <w:t>4. GOVERNING AND REFERENCE FRAMEWORK</w:t>
      </w:r>
    </w:p>
    <w:p>
      <w:pPr>
        <w:spacing w:after="40" w:line="240" w:lineRule="auto"/>
      </w:pPr>
      <w:r>
        <w:t>UNCC projects shall comply with applicable law and binding donor or partner agreements. The principal framework relevant to this Policy includes, as applicable:</w:t>
      </w:r>
    </w:p>
    <w:p>
      <w:pPr>
        <w:spacing w:after="20"/>
        <w:ind w:left="259" w:hanging="173"/>
      </w:pPr>
      <w:r>
        <w:rPr>
          <w:b/>
          <w:color w:val="1F4E79"/>
        </w:rPr>
        <w:t xml:space="preserve">• </w:t>
      </w:r>
      <w:r>
        <w:t>Uganda's Non-Governmental Organisations Act, 2016, NGO Regulations and applicable NGO Bureau requirements, including lawful registration/operation, transparency, accountability, reporting and cooperation with competent authorities.</w:t>
      </w:r>
    </w:p>
    <w:p>
      <w:pPr>
        <w:spacing w:after="20"/>
        <w:ind w:left="259" w:hanging="173"/>
      </w:pPr>
      <w:r>
        <w:rPr>
          <w:b/>
          <w:color w:val="1F4E79"/>
        </w:rPr>
        <w:t xml:space="preserve">• </w:t>
      </w:r>
      <w:r>
        <w:t>Uganda's Data Protection and Privacy Act, 2019 and applicable regulations for lawful collection, use, security, retention and disclosure of personal information.</w:t>
      </w:r>
    </w:p>
    <w:p>
      <w:pPr>
        <w:spacing w:after="20"/>
        <w:ind w:left="259" w:hanging="173"/>
      </w:pPr>
      <w:r>
        <w:rPr>
          <w:b/>
          <w:color w:val="1F4E79"/>
        </w:rPr>
        <w:t xml:space="preserve">• </w:t>
      </w:r>
      <w:r>
        <w:t>Uganda's Children Act, as amended, and applicable child-protection requirements, including the best interests, care and protection of children.</w:t>
      </w:r>
    </w:p>
    <w:p>
      <w:pPr>
        <w:spacing w:after="20"/>
        <w:ind w:left="259" w:hanging="173"/>
      </w:pPr>
      <w:r>
        <w:rPr>
          <w:b/>
          <w:color w:val="1F4E79"/>
        </w:rPr>
        <w:t xml:space="preserve">• </w:t>
      </w:r>
      <w:r>
        <w:t>Applicable Ugandan anti-corruption, anti-money-laundering, employment, taxation, procurement, traffic, criminal and public-health laws.</w:t>
      </w:r>
    </w:p>
    <w:p>
      <w:pPr>
        <w:spacing w:after="20"/>
        <w:ind w:left="259" w:hanging="173"/>
      </w:pPr>
      <w:r>
        <w:rPr>
          <w:b/>
          <w:color w:val="1F4E79"/>
        </w:rPr>
        <w:t xml:space="preserve">• </w:t>
      </w:r>
      <w:r>
        <w:t>For UNCC activities managed or resourced from Australia, applicable Australian charity obligations, including ACNC Governance Standards and External Conduct Standards concerning control of overseas resources, record-keeping, anti-fraud/anti-corruption and protection of vulnerable individuals.</w:t>
      </w:r>
    </w:p>
    <w:p>
      <w:pPr>
        <w:spacing w:after="20"/>
        <w:ind w:left="259" w:hanging="173"/>
      </w:pPr>
      <w:r>
        <w:rPr>
          <w:b/>
          <w:color w:val="1F4E79"/>
        </w:rPr>
        <w:t xml:space="preserve">• </w:t>
      </w:r>
      <w:r>
        <w:t>Applicable donor rules, UN/partner agreements, sanctions requirements and recognised humanitarian principles of humanity, impartiality, neutrality and independence.</w:t>
      </w:r>
    </w:p>
    <w:p>
      <w:pPr>
        <w:spacing w:after="40" w:line="240" w:lineRule="auto"/>
      </w:pPr>
      <w:r>
        <w:t>Where donor requirements exceed UNCC's minimum controls, the stricter lawful requirement shall apply. Where requirements conflict, the issue must be escalated to the Executive Director/Board and appropriate professional or legal advice obtained before proceeding.</w:t>
      </w:r>
    </w:p>
    <w:p>
      <w:pPr>
        <w:spacing w:before="120" w:after="20"/>
      </w:pPr>
      <w:r>
        <w:rPr>
          <w:b/>
          <w:color w:val="1F4E79"/>
          <w:sz w:val="20"/>
        </w:rPr>
        <w:t>5. PROJECT MANAGEMENT PRINCIPLES</w:t>
      </w:r>
    </w:p>
    <w:p>
      <w:pPr>
        <w:spacing w:after="20"/>
        <w:ind w:left="259" w:hanging="173"/>
      </w:pPr>
      <w:r>
        <w:rPr>
          <w:b/>
          <w:color w:val="1F4E79"/>
        </w:rPr>
        <w:t xml:space="preserve">• </w:t>
      </w:r>
      <w:r>
        <w:t>Needs-led and rights-based: projects respond to evidenced needs and barriers, not personal preference or political influence.</w:t>
      </w:r>
    </w:p>
    <w:p>
      <w:pPr>
        <w:spacing w:after="20"/>
        <w:ind w:left="259" w:hanging="173"/>
      </w:pPr>
      <w:r>
        <w:rPr>
          <w:b/>
          <w:color w:val="1F4E79"/>
        </w:rPr>
        <w:t xml:space="preserve">• </w:t>
      </w:r>
      <w:r>
        <w:t>Do no harm: identify protection, safeguarding, environmental, security and conflict-sensitivity risks before implementation.</w:t>
      </w:r>
    </w:p>
    <w:p>
      <w:pPr>
        <w:spacing w:after="20"/>
        <w:ind w:left="259" w:hanging="173"/>
      </w:pPr>
      <w:r>
        <w:rPr>
          <w:b/>
          <w:color w:val="1F4E79"/>
        </w:rPr>
        <w:t xml:space="preserve">• </w:t>
      </w:r>
      <w:r>
        <w:t>Participation: affected communities should meaningfully contribute to design, implementation, monitoring and feedback.</w:t>
      </w:r>
    </w:p>
    <w:p>
      <w:pPr>
        <w:spacing w:after="20"/>
        <w:ind w:left="259" w:hanging="173"/>
      </w:pPr>
      <w:r>
        <w:rPr>
          <w:b/>
          <w:color w:val="1F4E79"/>
        </w:rPr>
        <w:t xml:space="preserve">• </w:t>
      </w:r>
      <w:r>
        <w:t>Impartiality and inclusion: assistance is based on vulnerability and legitimate programme criteria without discrimination.</w:t>
      </w:r>
    </w:p>
    <w:p>
      <w:pPr>
        <w:spacing w:after="20"/>
        <w:ind w:left="259" w:hanging="173"/>
      </w:pPr>
      <w:r>
        <w:rPr>
          <w:b/>
          <w:color w:val="1F4E79"/>
        </w:rPr>
        <w:t xml:space="preserve">• </w:t>
      </w:r>
      <w:r>
        <w:t>Value for money: resources must be economical, reasonable, necessary and proportionate to intended results.</w:t>
      </w:r>
    </w:p>
    <w:p>
      <w:pPr>
        <w:spacing w:after="20"/>
        <w:ind w:left="259" w:hanging="173"/>
      </w:pPr>
      <w:r>
        <w:rPr>
          <w:b/>
          <w:color w:val="1F4E79"/>
        </w:rPr>
        <w:t xml:space="preserve">• </w:t>
      </w:r>
      <w:r>
        <w:t>Transparency: approvals, budgets, procurement, distributions, decisions, variances and results must be documented.</w:t>
      </w:r>
    </w:p>
    <w:p>
      <w:pPr>
        <w:spacing w:after="20"/>
        <w:ind w:left="259" w:hanging="173"/>
      </w:pPr>
      <w:r>
        <w:rPr>
          <w:b/>
          <w:color w:val="1F4E79"/>
        </w:rPr>
        <w:t xml:space="preserve">• </w:t>
      </w:r>
      <w:r>
        <w:t>Accountability: responsibilities are assigned, decisions traceable and complaints or concerns can be raised safely.</w:t>
      </w:r>
    </w:p>
    <w:p>
      <w:pPr>
        <w:spacing w:after="20"/>
        <w:ind w:left="259" w:hanging="173"/>
      </w:pPr>
      <w:r>
        <w:rPr>
          <w:b/>
          <w:color w:val="1F4E79"/>
        </w:rPr>
        <w:t xml:space="preserve">• </w:t>
      </w:r>
      <w:r>
        <w:t>Sustainability: project design should consider local capacity, ownership, maintenance, transition and exit.</w:t>
      </w:r>
    </w:p>
    <w:p>
      <w:pPr>
        <w:spacing w:before="120" w:after="20"/>
      </w:pPr>
      <w:r>
        <w:rPr>
          <w:b/>
          <w:color w:val="1F4E79"/>
          <w:sz w:val="20"/>
        </w:rPr>
        <w:t>6. PROJECT LIFE CYCLE</w:t>
      </w:r>
    </w:p>
    <w:p>
      <w:pPr>
        <w:spacing w:after="40" w:line="240" w:lineRule="auto"/>
      </w:pPr>
      <w:r>
        <w:t>Every UNCC project shall, proportionate to its scale and risk, pass through the following controlled stages:</w:t>
      </w:r>
    </w:p>
    <w:p>
      <w:pPr>
        <w:spacing w:after="20"/>
        <w:ind w:left="259" w:hanging="173"/>
      </w:pPr>
      <w:r>
        <w:rPr>
          <w:b/>
          <w:color w:val="1F4E79"/>
        </w:rPr>
        <w:t xml:space="preserve">• </w:t>
      </w:r>
      <w:r>
        <w:t>Identification and needs assessment.</w:t>
      </w:r>
    </w:p>
    <w:p>
      <w:pPr>
        <w:spacing w:after="20"/>
        <w:ind w:left="259" w:hanging="173"/>
      </w:pPr>
      <w:r>
        <w:rPr>
          <w:b/>
          <w:color w:val="1F4E79"/>
        </w:rPr>
        <w:t xml:space="preserve">• </w:t>
      </w:r>
      <w:r>
        <w:t>Concept development and project design.</w:t>
      </w:r>
    </w:p>
    <w:p>
      <w:pPr>
        <w:spacing w:after="20"/>
        <w:ind w:left="259" w:hanging="173"/>
      </w:pPr>
      <w:r>
        <w:rPr>
          <w:b/>
          <w:color w:val="1F4E79"/>
        </w:rPr>
        <w:t xml:space="preserve">• </w:t>
      </w:r>
      <w:r>
        <w:t>Risk, safeguarding, legal and feasibility assessment.</w:t>
      </w:r>
    </w:p>
    <w:p>
      <w:pPr>
        <w:spacing w:after="20"/>
        <w:ind w:left="259" w:hanging="173"/>
      </w:pPr>
      <w:r>
        <w:rPr>
          <w:b/>
          <w:color w:val="1F4E79"/>
        </w:rPr>
        <w:t xml:space="preserve">• </w:t>
      </w:r>
      <w:r>
        <w:t>Budgeting, resource planning and funding approval.</w:t>
      </w:r>
    </w:p>
    <w:p>
      <w:pPr>
        <w:spacing w:after="20"/>
        <w:ind w:left="259" w:hanging="173"/>
      </w:pPr>
      <w:r>
        <w:rPr>
          <w:b/>
          <w:color w:val="1F4E79"/>
        </w:rPr>
        <w:t xml:space="preserve">• </w:t>
      </w:r>
      <w:r>
        <w:t>Formal organisational and donor/partner approval.</w:t>
      </w:r>
    </w:p>
    <w:p>
      <w:pPr>
        <w:spacing w:after="20"/>
        <w:ind w:left="259" w:hanging="173"/>
      </w:pPr>
      <w:r>
        <w:rPr>
          <w:b/>
          <w:color w:val="1F4E79"/>
        </w:rPr>
        <w:t xml:space="preserve">• </w:t>
      </w:r>
      <w:r>
        <w:t>Start-up, assignment of responsibilities and baseline/M&amp;E arrangements.</w:t>
      </w:r>
    </w:p>
    <w:p>
      <w:pPr>
        <w:spacing w:after="20"/>
        <w:ind w:left="259" w:hanging="173"/>
      </w:pPr>
      <w:r>
        <w:rPr>
          <w:b/>
          <w:color w:val="1F4E79"/>
        </w:rPr>
        <w:t xml:space="preserve">• </w:t>
      </w:r>
      <w:r>
        <w:t>Implementation, procurement and financial management.</w:t>
      </w:r>
    </w:p>
    <w:p>
      <w:pPr>
        <w:spacing w:after="20"/>
        <w:ind w:left="259" w:hanging="173"/>
      </w:pPr>
      <w:r>
        <w:rPr>
          <w:b/>
          <w:color w:val="1F4E79"/>
        </w:rPr>
        <w:t xml:space="preserve">• </w:t>
      </w:r>
      <w:r>
        <w:t>Continuous monitoring, risk review and community feedback.</w:t>
      </w:r>
    </w:p>
    <w:p>
      <w:pPr>
        <w:spacing w:after="20"/>
        <w:ind w:left="259" w:hanging="173"/>
      </w:pPr>
      <w:r>
        <w:rPr>
          <w:b/>
          <w:color w:val="1F4E79"/>
        </w:rPr>
        <w:t xml:space="preserve">• </w:t>
      </w:r>
      <w:r>
        <w:t>Donor, management and governance reporting.</w:t>
      </w:r>
    </w:p>
    <w:p>
      <w:pPr>
        <w:spacing w:after="20"/>
        <w:ind w:left="259" w:hanging="173"/>
      </w:pPr>
      <w:r>
        <w:rPr>
          <w:b/>
          <w:color w:val="1F4E79"/>
        </w:rPr>
        <w:t xml:space="preserve">• </w:t>
      </w:r>
      <w:r>
        <w:t>Evaluation, learning, handover/exit and project closure.</w:t>
      </w:r>
    </w:p>
    <w:p>
      <w:pPr>
        <w:spacing w:before="120" w:after="20"/>
      </w:pPr>
      <w:r>
        <w:rPr>
          <w:b/>
          <w:color w:val="1F4E79"/>
          <w:sz w:val="20"/>
        </w:rPr>
        <w:t>7. PROJECT IDENTIFICATION AND NEEDS ASSESSMENT</w:t>
      </w:r>
    </w:p>
    <w:p>
      <w:pPr>
        <w:spacing w:after="40" w:line="240" w:lineRule="auto"/>
      </w:pPr>
      <w:r>
        <w:t>Projects must be supported by credible evidence. Depending on size and complexity, this may include household assessments, community consultation, government or humanitarian coordination data, protection referrals, health information, field observation, partner information and previous programme learning.</w:t>
      </w:r>
    </w:p>
    <w:p>
      <w:pPr>
        <w:spacing w:after="40" w:line="240" w:lineRule="auto"/>
      </w:pPr>
      <w:r>
        <w:t>Needs assessments must distinguish verified facts from allegations, estimates or community perceptions. Sensitive personal data shall be collected only where necessary, lawfully and with appropriate protection.</w:t>
      </w:r>
    </w:p>
    <w:p>
      <w:pPr>
        <w:spacing w:before="120" w:after="20"/>
      </w:pPr>
      <w:r>
        <w:rPr>
          <w:b/>
          <w:color w:val="1F4E79"/>
          <w:sz w:val="20"/>
        </w:rPr>
        <w:t>8. PROJECT DESIGN REQUIREMENTS</w:t>
      </w:r>
    </w:p>
    <w:p>
      <w:pPr>
        <w:spacing w:after="40" w:line="240" w:lineRule="auto"/>
      </w:pPr>
      <w:r>
        <w:t>A project proposal or concept note should define, as applicable:</w:t>
      </w:r>
    </w:p>
    <w:p>
      <w:pPr>
        <w:spacing w:after="20"/>
        <w:ind w:left="259" w:hanging="173"/>
      </w:pPr>
      <w:r>
        <w:rPr>
          <w:b/>
          <w:color w:val="1F4E79"/>
        </w:rPr>
        <w:t xml:space="preserve">• </w:t>
      </w:r>
      <w:r>
        <w:t>Background, problem statement and needs analysis.</w:t>
      </w:r>
    </w:p>
    <w:p>
      <w:pPr>
        <w:spacing w:after="20"/>
        <w:ind w:left="259" w:hanging="173"/>
      </w:pPr>
      <w:r>
        <w:rPr>
          <w:b/>
          <w:color w:val="1F4E79"/>
        </w:rPr>
        <w:t xml:space="preserve">• </w:t>
      </w:r>
      <w:r>
        <w:t>Geographic location and target population, including vulnerability and eligibility criteria.</w:t>
      </w:r>
    </w:p>
    <w:p>
      <w:pPr>
        <w:spacing w:after="20"/>
        <w:ind w:left="259" w:hanging="173"/>
      </w:pPr>
      <w:r>
        <w:rPr>
          <w:b/>
          <w:color w:val="1F4E79"/>
        </w:rPr>
        <w:t xml:space="preserve">• </w:t>
      </w:r>
      <w:r>
        <w:t>Goal, specific objectives, expected outputs, outcomes and indicators.</w:t>
      </w:r>
    </w:p>
    <w:p>
      <w:pPr>
        <w:spacing w:after="20"/>
        <w:ind w:left="259" w:hanging="173"/>
      </w:pPr>
      <w:r>
        <w:rPr>
          <w:b/>
          <w:color w:val="1F4E79"/>
        </w:rPr>
        <w:t xml:space="preserve">• </w:t>
      </w:r>
      <w:r>
        <w:t>Activities, implementation methodology, work plan and timeline.</w:t>
      </w:r>
    </w:p>
    <w:p>
      <w:pPr>
        <w:spacing w:after="20"/>
        <w:ind w:left="259" w:hanging="173"/>
      </w:pPr>
      <w:r>
        <w:rPr>
          <w:b/>
          <w:color w:val="1F4E79"/>
        </w:rPr>
        <w:t xml:space="preserve">• </w:t>
      </w:r>
      <w:r>
        <w:t>Safeguarding, PSEA, disability inclusion, gender and protection considerations.</w:t>
      </w:r>
    </w:p>
    <w:p>
      <w:pPr>
        <w:spacing w:after="20"/>
        <w:ind w:left="259" w:hanging="173"/>
      </w:pPr>
      <w:r>
        <w:rPr>
          <w:b/>
          <w:color w:val="1F4E79"/>
        </w:rPr>
        <w:t xml:space="preserve">• </w:t>
      </w:r>
      <w:r>
        <w:t>Risk register and mitigation measures.</w:t>
      </w:r>
    </w:p>
    <w:p>
      <w:pPr>
        <w:spacing w:after="20"/>
        <w:ind w:left="259" w:hanging="173"/>
      </w:pPr>
      <w:r>
        <w:rPr>
          <w:b/>
          <w:color w:val="1F4E79"/>
        </w:rPr>
        <w:t xml:space="preserve">• </w:t>
      </w:r>
      <w:r>
        <w:t>Stakeholder, government, UN/NGO and community coordination arrangements.</w:t>
      </w:r>
    </w:p>
    <w:p>
      <w:pPr>
        <w:spacing w:after="20"/>
        <w:ind w:left="259" w:hanging="173"/>
      </w:pPr>
      <w:r>
        <w:rPr>
          <w:b/>
          <w:color w:val="1F4E79"/>
        </w:rPr>
        <w:t xml:space="preserve">• </w:t>
      </w:r>
      <w:r>
        <w:t>Budget, procurement plan, staffing/volunteer requirements and logistics.</w:t>
      </w:r>
    </w:p>
    <w:p>
      <w:pPr>
        <w:spacing w:after="20"/>
        <w:ind w:left="259" w:hanging="173"/>
      </w:pPr>
      <w:r>
        <w:rPr>
          <w:b/>
          <w:color w:val="1F4E79"/>
        </w:rPr>
        <w:t xml:space="preserve">• </w:t>
      </w:r>
      <w:r>
        <w:t>Monitoring, evaluation, accountability and learning arrangements.</w:t>
      </w:r>
    </w:p>
    <w:p>
      <w:pPr>
        <w:spacing w:after="20"/>
        <w:ind w:left="259" w:hanging="173"/>
      </w:pPr>
      <w:r>
        <w:rPr>
          <w:b/>
          <w:color w:val="1F4E79"/>
        </w:rPr>
        <w:t xml:space="preserve">• </w:t>
      </w:r>
      <w:r>
        <w:t>Sustainability, handover and exit strategy.</w:t>
      </w:r>
    </w:p>
    <w:p>
      <w:pPr>
        <w:spacing w:before="120" w:after="20"/>
      </w:pPr>
      <w:r>
        <w:rPr>
          <w:b/>
          <w:color w:val="1F4E79"/>
          <w:sz w:val="20"/>
        </w:rPr>
        <w:t>9. PROJECT APPROVAL AND DELEGATED AUTHORITY</w:t>
      </w:r>
    </w:p>
    <w:p>
      <w:pPr>
        <w:spacing w:after="40" w:line="240" w:lineRule="auto"/>
      </w:pPr>
      <w:r>
        <w:t>No project may commence solely because funds, goods or a donor opportunity are available. The project must be within UNCC's charitable purpose, legally permissible, adequately assessed and approved under UNCC's delegated authority framework.</w:t>
      </w:r>
    </w:p>
    <w:p>
      <w:pPr>
        <w:spacing w:after="40" w:line="240" w:lineRule="auto"/>
      </w:pPr>
      <w:r>
        <w:t>Approval must be documented. Material changes to objectives, target population, geographic area, duration, donor restrictions or budget must be approved before implementation unless immediate action is necessary to protect life. Emergency deviations must be documented and retrospectively authorised as soon as practicable.</w:t>
      </w:r>
    </w:p>
    <w:p>
      <w:pPr>
        <w:spacing w:before="120" w:after="20"/>
      </w:pPr>
      <w:r>
        <w:rPr>
          <w:b/>
          <w:color w:val="1F4E79"/>
          <w:sz w:val="20"/>
        </w:rPr>
        <w:t>10. PROJECT MANAGER</w:t>
      </w:r>
    </w:p>
    <w:p>
      <w:pPr>
        <w:spacing w:after="40" w:line="240" w:lineRule="auto"/>
      </w:pPr>
      <w:r>
        <w:t>Each material project shall have a designated Project Manager or responsible programme lead selected on the basis of competence, integrity, relevant experience and technical requirements. The Project Manager is accountable for day-to-day implementation but does not replace the oversight responsibilities of senior management and the Board.</w:t>
      </w:r>
    </w:p>
    <w:p>
      <w:pPr>
        <w:spacing w:after="20"/>
        <w:ind w:left="259" w:hanging="173"/>
      </w:pPr>
      <w:r>
        <w:rPr>
          <w:b/>
          <w:color w:val="1F4E79"/>
        </w:rPr>
        <w:t xml:space="preserve">• </w:t>
      </w:r>
      <w:r>
        <w:t>Maintain the approved project plan, budget, work plan, risk register and M&amp;E framework.</w:t>
      </w:r>
    </w:p>
    <w:p>
      <w:pPr>
        <w:spacing w:after="20"/>
        <w:ind w:left="259" w:hanging="173"/>
      </w:pPr>
      <w:r>
        <w:rPr>
          <w:b/>
          <w:color w:val="1F4E79"/>
        </w:rPr>
        <w:t xml:space="preserve">• </w:t>
      </w:r>
      <w:r>
        <w:t>Ensure staff, volunteers and partners understand project objectives, safeguarding duties and donor restrictions.</w:t>
      </w:r>
    </w:p>
    <w:p>
      <w:pPr>
        <w:spacing w:after="20"/>
        <w:ind w:left="259" w:hanging="173"/>
      </w:pPr>
      <w:r>
        <w:rPr>
          <w:b/>
          <w:color w:val="1F4E79"/>
        </w:rPr>
        <w:t xml:space="preserve">• </w:t>
      </w:r>
      <w:r>
        <w:t>Coordinate implementation, procurement, distributions, referrals, logistics and stakeholder engagement.</w:t>
      </w:r>
    </w:p>
    <w:p>
      <w:pPr>
        <w:spacing w:after="20"/>
        <w:ind w:left="259" w:hanging="173"/>
      </w:pPr>
      <w:r>
        <w:rPr>
          <w:b/>
          <w:color w:val="1F4E79"/>
        </w:rPr>
        <w:t xml:space="preserve">• </w:t>
      </w:r>
      <w:r>
        <w:t>Maintain accurate records of expenditure, receipts, assets, beneficiaries, activities and approvals.</w:t>
      </w:r>
    </w:p>
    <w:p>
      <w:pPr>
        <w:spacing w:after="20"/>
        <w:ind w:left="259" w:hanging="173"/>
      </w:pPr>
      <w:r>
        <w:rPr>
          <w:b/>
          <w:color w:val="1F4E79"/>
        </w:rPr>
        <w:t xml:space="preserve">• </w:t>
      </w:r>
      <w:r>
        <w:t>Report project creep, budget variances, delays, safeguarding incidents, fraud risks and other material issues promptly.</w:t>
      </w:r>
    </w:p>
    <w:p>
      <w:pPr>
        <w:spacing w:after="20"/>
        <w:ind w:left="259" w:hanging="173"/>
      </w:pPr>
      <w:r>
        <w:rPr>
          <w:b/>
          <w:color w:val="1F4E79"/>
        </w:rPr>
        <w:t xml:space="preserve">• </w:t>
      </w:r>
      <w:r>
        <w:t>Ensure corrective actions are implemented and documented.</w:t>
      </w:r>
    </w:p>
    <w:p>
      <w:pPr>
        <w:spacing w:before="120" w:after="20"/>
      </w:pPr>
      <w:r>
        <w:rPr>
          <w:b/>
          <w:color w:val="1F4E79"/>
          <w:sz w:val="20"/>
        </w:rPr>
        <w:t>11. FINANCIAL MANAGEMENT AND DONOR FUNDS</w:t>
      </w:r>
    </w:p>
    <w:p>
      <w:pPr>
        <w:spacing w:after="40" w:line="240" w:lineRule="auto"/>
      </w:pPr>
      <w:r>
        <w:t>Donor and charitable funds are held in trust for approved charitable purposes. Restricted funding must not be redirected to another programme, person or purpose without the approval required by the funding agreement and UNCC authority.</w:t>
      </w:r>
    </w:p>
    <w:p>
      <w:pPr>
        <w:spacing w:after="20"/>
        <w:ind w:left="259" w:hanging="173"/>
      </w:pPr>
      <w:r>
        <w:rPr>
          <w:b/>
          <w:color w:val="1F4E79"/>
        </w:rPr>
        <w:t xml:space="preserve">• </w:t>
      </w:r>
      <w:r>
        <w:t>Use approved budgets, cost categories and financial delegations.</w:t>
      </w:r>
    </w:p>
    <w:p>
      <w:pPr>
        <w:spacing w:after="20"/>
        <w:ind w:left="259" w:hanging="173"/>
      </w:pPr>
      <w:r>
        <w:rPr>
          <w:b/>
          <w:color w:val="1F4E79"/>
        </w:rPr>
        <w:t xml:space="preserve">• </w:t>
      </w:r>
      <w:r>
        <w:t>Maintain invoices, receipts, contracts, payment evidence and reconciliations sufficient for audit.</w:t>
      </w:r>
    </w:p>
    <w:p>
      <w:pPr>
        <w:spacing w:after="20"/>
        <w:ind w:left="259" w:hanging="173"/>
      </w:pPr>
      <w:r>
        <w:rPr>
          <w:b/>
          <w:color w:val="1F4E79"/>
        </w:rPr>
        <w:t xml:space="preserve">• </w:t>
      </w:r>
      <w:r>
        <w:t>Use formal banking and traceable payment methods wherever reasonably practicable.</w:t>
      </w:r>
    </w:p>
    <w:p>
      <w:pPr>
        <w:spacing w:after="20"/>
        <w:ind w:left="259" w:hanging="173"/>
      </w:pPr>
      <w:r>
        <w:rPr>
          <w:b/>
          <w:color w:val="1F4E79"/>
        </w:rPr>
        <w:t xml:space="preserve">• </w:t>
      </w:r>
      <w:r>
        <w:t>Separate initiation, approval, payment and reconciliation duties where organisational capacity permits.</w:t>
      </w:r>
    </w:p>
    <w:p>
      <w:pPr>
        <w:spacing w:after="20"/>
        <w:ind w:left="259" w:hanging="173"/>
      </w:pPr>
      <w:r>
        <w:rPr>
          <w:b/>
          <w:color w:val="1F4E79"/>
        </w:rPr>
        <w:t xml:space="preserve">• </w:t>
      </w:r>
      <w:r>
        <w:t>Document and approve budget variations before expenditure, subject to emergency procedures.</w:t>
      </w:r>
    </w:p>
    <w:p>
      <w:pPr>
        <w:spacing w:after="20"/>
        <w:ind w:left="259" w:hanging="173"/>
      </w:pPr>
      <w:r>
        <w:rPr>
          <w:b/>
          <w:color w:val="1F4E79"/>
        </w:rPr>
        <w:t xml:space="preserve">• </w:t>
      </w:r>
      <w:r>
        <w:t>Maintain country/project expenditure records and donor-specific records for the required retention period.</w:t>
      </w:r>
    </w:p>
    <w:p>
      <w:pPr>
        <w:spacing w:after="20"/>
        <w:ind w:left="259" w:hanging="173"/>
      </w:pPr>
      <w:r>
        <w:rPr>
          <w:b/>
          <w:color w:val="1F4E79"/>
        </w:rPr>
        <w:t xml:space="preserve">• </w:t>
      </w:r>
      <w:r>
        <w:t>Never create false beneficiaries, invoices, quotations, attendance records, distribution records or project results.</w:t>
      </w:r>
    </w:p>
    <w:p>
      <w:pPr>
        <w:spacing w:before="120" w:after="20"/>
      </w:pPr>
      <w:r>
        <w:rPr>
          <w:b/>
          <w:color w:val="1F4E79"/>
          <w:sz w:val="20"/>
        </w:rPr>
        <w:t>12. PROCUREMENT, SUPPLY CHAIN AND ASSET CONTROL</w:t>
      </w:r>
    </w:p>
    <w:p>
      <w:pPr>
        <w:spacing w:after="40" w:line="240" w:lineRule="auto"/>
      </w:pPr>
      <w:r>
        <w:t>Procurement shall be fair, transparent, proportionate, competitive where practicable and free from undisclosed conflicts of interest. Selection decisions must consider price, quality, delivery, safeguarding, integrity, legal compliance and value for money.</w:t>
      </w:r>
    </w:p>
    <w:p>
      <w:pPr>
        <w:spacing w:after="40" w:line="240" w:lineRule="auto"/>
      </w:pPr>
      <w:r>
        <w:t>Donated goods, vehicles, medical items, disability equipment, education materials and other assets must be recorded, secured, tracked and used only for authorised charitable purposes. Loss, diversion, damage, theft or suspected misuse must be reported promptly.</w:t>
      </w:r>
    </w:p>
    <w:p>
      <w:pPr>
        <w:spacing w:before="120" w:after="20"/>
      </w:pPr>
      <w:r>
        <w:rPr>
          <w:b/>
          <w:color w:val="1F4E79"/>
          <w:sz w:val="20"/>
        </w:rPr>
        <w:t>13. PARTNERS, CONTRACTORS AND DUE DILIGENCE</w:t>
      </w:r>
    </w:p>
    <w:p>
      <w:pPr>
        <w:spacing w:after="40" w:line="240" w:lineRule="auto"/>
      </w:pPr>
      <w:r>
        <w:t>Before entrusting a third party with UNCC funds, goods, beneficiaries or programme delivery, UNCC shall undertake risk-based due diligence. Written agreements should define objectives, responsibilities, budgets, reporting, safeguarding, audit/access rights, data protection, anti-fraud requirements, intellectual property where relevant, termination rights and return/disposal of unused resources.</w:t>
      </w:r>
    </w:p>
    <w:p>
      <w:pPr>
        <w:spacing w:after="40" w:line="240" w:lineRule="auto"/>
      </w:pPr>
      <w:r>
        <w:t>Due diligence should consider legal status, governance, reputation, technical capacity, financial controls, safeguarding systems, conflicts of interest, sanctions/financial-crime risks, supply chains, complaints mechanisms and ability to protect vulnerable people.</w:t>
      </w:r>
    </w:p>
    <w:p>
      <w:pPr>
        <w:spacing w:before="120" w:after="20"/>
      </w:pPr>
      <w:r>
        <w:rPr>
          <w:b/>
          <w:color w:val="1F4E79"/>
          <w:sz w:val="20"/>
        </w:rPr>
        <w:t>14. SAFEGUARDING, PSEA AND VULNERABLE PEOPLE</w:t>
      </w:r>
    </w:p>
    <w:p>
      <w:pPr>
        <w:spacing w:after="40" w:line="240" w:lineRule="auto"/>
      </w:pPr>
      <w:r>
        <w:t>Protection of vulnerable people is mandatory throughout the project cycle. UNCC applies zero tolerance to sexual exploitation and abuse, child abuse, harassment, trafficking, forced labour, exploitation, retaliation and exchange of assistance for sexual, financial or personal favours.</w:t>
      </w:r>
    </w:p>
    <w:p>
      <w:pPr>
        <w:spacing w:after="20"/>
        <w:ind w:left="259" w:hanging="173"/>
      </w:pPr>
      <w:r>
        <w:rPr>
          <w:b/>
          <w:color w:val="1F4E79"/>
        </w:rPr>
        <w:t xml:space="preserve">• </w:t>
      </w:r>
      <w:r>
        <w:t>Apply the best interests of the child in decisions affecting children.</w:t>
      </w:r>
    </w:p>
    <w:p>
      <w:pPr>
        <w:spacing w:after="20"/>
        <w:ind w:left="259" w:hanging="173"/>
      </w:pPr>
      <w:r>
        <w:rPr>
          <w:b/>
          <w:color w:val="1F4E79"/>
        </w:rPr>
        <w:t xml:space="preserve">• </w:t>
      </w:r>
      <w:r>
        <w:t>Use safe recruitment, appropriate screening, codes of conduct and supervision for personnel working with vulnerable people.</w:t>
      </w:r>
    </w:p>
    <w:p>
      <w:pPr>
        <w:spacing w:after="20"/>
        <w:ind w:left="259" w:hanging="173"/>
      </w:pPr>
      <w:r>
        <w:rPr>
          <w:b/>
          <w:color w:val="1F4E79"/>
        </w:rPr>
        <w:t xml:space="preserve">• </w:t>
      </w:r>
      <w:r>
        <w:t>Ensure accessible, confidential complaints and reporting pathways.</w:t>
      </w:r>
    </w:p>
    <w:p>
      <w:pPr>
        <w:spacing w:after="20"/>
        <w:ind w:left="259" w:hanging="173"/>
      </w:pPr>
      <w:r>
        <w:rPr>
          <w:b/>
          <w:color w:val="1F4E79"/>
        </w:rPr>
        <w:t xml:space="preserve">• </w:t>
      </w:r>
      <w:r>
        <w:t>Obtain informed consent appropriate to the activity and the person's capacity; never pressure participation.</w:t>
      </w:r>
    </w:p>
    <w:p>
      <w:pPr>
        <w:spacing w:after="20"/>
        <w:ind w:left="259" w:hanging="173"/>
      </w:pPr>
      <w:r>
        <w:rPr>
          <w:b/>
          <w:color w:val="1F4E79"/>
        </w:rPr>
        <w:t xml:space="preserve">• </w:t>
      </w:r>
      <w:r>
        <w:t>Protect privacy, dignity and images of beneficiaries.</w:t>
      </w:r>
    </w:p>
    <w:p>
      <w:pPr>
        <w:spacing w:after="20"/>
        <w:ind w:left="259" w:hanging="173"/>
      </w:pPr>
      <w:r>
        <w:rPr>
          <w:b/>
          <w:color w:val="1F4E79"/>
        </w:rPr>
        <w:t xml:space="preserve">• </w:t>
      </w:r>
      <w:r>
        <w:t>Refer safeguarding allegations through appropriate UNCC and competent-authority channels.</w:t>
      </w:r>
    </w:p>
    <w:p>
      <w:pPr>
        <w:spacing w:before="120" w:after="20"/>
      </w:pPr>
      <w:r>
        <w:rPr>
          <w:b/>
          <w:color w:val="1F4E79"/>
          <w:sz w:val="20"/>
        </w:rPr>
        <w:t>15. DATA PROTECTION AND CONFIDENTIALITY</w:t>
      </w:r>
    </w:p>
    <w:p>
      <w:pPr>
        <w:spacing w:after="40" w:line="240" w:lineRule="auto"/>
      </w:pPr>
      <w:r>
        <w:t>Project data must be relevant, necessary, accurate, secure and retained only as required by law, donor conditions and legitimate programme purposes. Access shall be limited to authorised persons. Beneficiary case information, health information, child-protection data, photographs and contact details must not be disclosed or published without lawful authority and appropriate consent or other lawful basis.</w:t>
      </w:r>
    </w:p>
    <w:p>
      <w:pPr>
        <w:spacing w:after="40" w:line="240" w:lineRule="auto"/>
      </w:pPr>
      <w:r>
        <w:t>Data breaches, loss of files or unauthorised access must be reported through UNCC's data-protection and incident-management process.</w:t>
      </w:r>
    </w:p>
    <w:p>
      <w:pPr>
        <w:spacing w:before="120" w:after="20"/>
      </w:pPr>
      <w:r>
        <w:rPr>
          <w:b/>
          <w:color w:val="1F4E79"/>
          <w:sz w:val="20"/>
        </w:rPr>
        <w:t>16. RISK MANAGEMENT AND SECURITY</w:t>
      </w:r>
    </w:p>
    <w:p>
      <w:pPr>
        <w:spacing w:after="40" w:line="240" w:lineRule="auto"/>
      </w:pPr>
      <w:r>
        <w:t>Each project must identify material strategic, operational, financial, safeguarding, fraud, legal, reputational, security, environmental, health, logistics and data risks. Higher-risk projects require stronger controls, more frequent review and senior-management oversight.</w:t>
      </w:r>
    </w:p>
    <w:p>
      <w:pPr>
        <w:spacing w:after="40" w:line="240" w:lineRule="auto"/>
      </w:pPr>
      <w:r>
        <w:t>UNCC may suspend, modify or terminate an activity when risks become unacceptable, donor conditions cannot be met, resources are being misused, beneficiaries are exposed to harm, or lawful implementation is no longer reasonably possible.</w:t>
      </w:r>
    </w:p>
    <w:p>
      <w:pPr>
        <w:spacing w:before="120" w:after="20"/>
      </w:pPr>
      <w:r>
        <w:rPr>
          <w:b/>
          <w:color w:val="1F4E79"/>
          <w:sz w:val="20"/>
        </w:rPr>
        <w:t>17. ANTI-FRAUD, ANTI-CORRUPTION AND CONFLICTS OF INTEREST</w:t>
      </w:r>
    </w:p>
    <w:p>
      <w:pPr>
        <w:spacing w:after="40" w:line="240" w:lineRule="auto"/>
      </w:pPr>
      <w:r>
        <w:t>UNCC has zero tolerance for fraud, bribery, corruption, kickbacks, theft, collusion, diversion, falsification of records and misuse of charitable resources. Actual, potential or perceived conflicts of interest must be disclosed before participating in a related decision.</w:t>
      </w:r>
    </w:p>
    <w:p>
      <w:pPr>
        <w:spacing w:after="40" w:line="240" w:lineRule="auto"/>
      </w:pPr>
      <w:r>
        <w:t>Good-faith concerns may be reported without retaliation. Suspected criminal conduct or mandatory-reporting matters shall be referred to competent authorities where required.</w:t>
      </w:r>
    </w:p>
    <w:p>
      <w:pPr>
        <w:spacing w:before="120" w:after="20"/>
      </w:pPr>
      <w:r>
        <w:rPr>
          <w:b/>
          <w:color w:val="1F4E79"/>
          <w:sz w:val="20"/>
        </w:rPr>
        <w:t>18. MONITORING, EVALUATION, ACCOUNTABILITY AND LEARNING (MEAL)</w:t>
      </w:r>
    </w:p>
    <w:p>
      <w:pPr>
        <w:spacing w:after="40" w:line="240" w:lineRule="auto"/>
      </w:pPr>
      <w:r>
        <w:t>Every project shall have monitoring arrangements proportionate to its scale. Monitoring must measure implementation against approved objectives, indicators, budget, timeline and risk controls. Projects should use baseline information where appropriate and track both quantitative and qualitative evidence.</w:t>
      </w:r>
    </w:p>
    <w:p>
      <w:pPr>
        <w:spacing w:after="20"/>
        <w:ind w:left="259" w:hanging="173"/>
      </w:pPr>
      <w:r>
        <w:rPr>
          <w:b/>
          <w:color w:val="1F4E79"/>
        </w:rPr>
        <w:t xml:space="preserve">• </w:t>
      </w:r>
      <w:r>
        <w:t>Outputs: what was delivered, where, when, by whom and to how many eligible people.</w:t>
      </w:r>
    </w:p>
    <w:p>
      <w:pPr>
        <w:spacing w:after="20"/>
        <w:ind w:left="259" w:hanging="173"/>
      </w:pPr>
      <w:r>
        <w:rPr>
          <w:b/>
          <w:color w:val="1F4E79"/>
        </w:rPr>
        <w:t xml:space="preserve">• </w:t>
      </w:r>
      <w:r>
        <w:t>Outcomes: the changes experienced by beneficiaries or systems as a result of the project.</w:t>
      </w:r>
    </w:p>
    <w:p>
      <w:pPr>
        <w:spacing w:after="20"/>
        <w:ind w:left="259" w:hanging="173"/>
      </w:pPr>
      <w:r>
        <w:rPr>
          <w:b/>
          <w:color w:val="1F4E79"/>
        </w:rPr>
        <w:t xml:space="preserve">• </w:t>
      </w:r>
      <w:r>
        <w:t>Quality: whether assistance was safe, timely, appropriate, inclusive and respectful.</w:t>
      </w:r>
    </w:p>
    <w:p>
      <w:pPr>
        <w:spacing w:after="20"/>
        <w:ind w:left="259" w:hanging="173"/>
      </w:pPr>
      <w:r>
        <w:rPr>
          <w:b/>
          <w:color w:val="1F4E79"/>
        </w:rPr>
        <w:t xml:space="preserve">• </w:t>
      </w:r>
      <w:r>
        <w:t>Financial performance: expenditure against budget, variances and value for money.</w:t>
      </w:r>
    </w:p>
    <w:p>
      <w:pPr>
        <w:spacing w:after="20"/>
        <w:ind w:left="259" w:hanging="173"/>
      </w:pPr>
      <w:r>
        <w:rPr>
          <w:b/>
          <w:color w:val="1F4E79"/>
        </w:rPr>
        <w:t xml:space="preserve">• </w:t>
      </w:r>
      <w:r>
        <w:t>Accountability: complaints, feedback, referrals and corrective actions.</w:t>
      </w:r>
    </w:p>
    <w:p>
      <w:pPr>
        <w:spacing w:after="20"/>
        <w:ind w:left="259" w:hanging="173"/>
      </w:pPr>
      <w:r>
        <w:rPr>
          <w:b/>
          <w:color w:val="1F4E79"/>
        </w:rPr>
        <w:t xml:space="preserve">• </w:t>
      </w:r>
      <w:r>
        <w:t>Learning: what worked, what did not work and how future programming should change.</w:t>
      </w:r>
    </w:p>
    <w:p>
      <w:pPr>
        <w:spacing w:after="40" w:line="240" w:lineRule="auto"/>
      </w:pPr>
      <w:r>
        <w:t>Monitoring data must not be fabricated or altered to satisfy a donor target. Material underperformance must be reported honestly with corrective action.</w:t>
      </w:r>
    </w:p>
    <w:p>
      <w:pPr>
        <w:spacing w:before="120" w:after="20"/>
      </w:pPr>
      <w:r>
        <w:rPr>
          <w:b/>
          <w:color w:val="1F4E79"/>
          <w:sz w:val="20"/>
        </w:rPr>
        <w:t>19. DONOR AND PARTNER REPORTING</w:t>
      </w:r>
    </w:p>
    <w:p>
      <w:pPr>
        <w:spacing w:after="40" w:line="240" w:lineRule="auto"/>
      </w:pPr>
      <w:r>
        <w:t>Reports to donors and partners must be accurate, timely, evidence-based and consistent with the approved project and financial records. UNCC shall disclose material delays, budget variances, safeguarding incidents, fraud or diversion concerns, supply-chain disruption and other matters when required by agreement or law.</w:t>
      </w:r>
    </w:p>
    <w:p>
      <w:pPr>
        <w:spacing w:after="40" w:line="240" w:lineRule="auto"/>
      </w:pPr>
      <w:r>
        <w:t>No staff member or volunteer may knowingly overstate beneficiary numbers, outcomes, impact or expenditure. Photographs and stories used in donor communications must respect dignity, privacy, safeguarding and consent.</w:t>
      </w:r>
    </w:p>
    <w:p>
      <w:pPr>
        <w:spacing w:before="120" w:after="20"/>
      </w:pPr>
      <w:r>
        <w:rPr>
          <w:b/>
          <w:color w:val="1F4E79"/>
          <w:sz w:val="20"/>
        </w:rPr>
        <w:t>20. COMMUNITY FEEDBACK AND COMPLAINTS</w:t>
      </w:r>
    </w:p>
    <w:p>
      <w:pPr>
        <w:spacing w:after="40" w:line="240" w:lineRule="auto"/>
      </w:pPr>
      <w:r>
        <w:t>Beneficiaries and communities should be informed, in accessible language, about the purpose of the project, eligibility criteria, what assistance is free, expected conduct of UNCC personnel and how to make a complaint. Complaints must be recorded, triaged, referred and resolved appropriately, with confidentiality and protection from retaliation.</w:t>
      </w:r>
    </w:p>
    <w:p>
      <w:pPr>
        <w:spacing w:before="120" w:after="20"/>
      </w:pPr>
      <w:r>
        <w:rPr>
          <w:b/>
          <w:color w:val="1F4E79"/>
          <w:sz w:val="20"/>
        </w:rPr>
        <w:t>21. PROJECT CHANGES, SUSPENSION AND TERMINATION</w:t>
      </w:r>
    </w:p>
    <w:p>
      <w:pPr>
        <w:spacing w:after="40" w:line="240" w:lineRule="auto"/>
      </w:pPr>
      <w:r>
        <w:t>Material scope, budget, timeline or delivery changes require approval. UNCC may suspend or terminate a project where funding is withdrawn, objectives become unachievable, serious misconduct occurs, safeguarding cannot be assured, legal requirements cannot be met, or risks exceed UNCC's acceptable tolerance.</w:t>
      </w:r>
    </w:p>
    <w:p>
      <w:pPr>
        <w:spacing w:after="40" w:line="240" w:lineRule="auto"/>
      </w:pPr>
      <w:r>
        <w:t>Where a donor contract applies, suspension or termination must also follow contractual notice, asset, reporting and financial-close requirements.</w:t>
      </w:r>
    </w:p>
    <w:p>
      <w:pPr>
        <w:spacing w:before="120" w:after="20"/>
      </w:pPr>
      <w:r>
        <w:rPr>
          <w:b/>
          <w:color w:val="1F4E79"/>
          <w:sz w:val="20"/>
        </w:rPr>
        <w:t>22. PROJECT CLOSURE AND EVALUATION</w:t>
      </w:r>
    </w:p>
    <w:p>
      <w:pPr>
        <w:spacing w:after="40" w:line="240" w:lineRule="auto"/>
      </w:pPr>
      <w:r>
        <w:t>At closure, the Project Manager shall ensure final activities, beneficiary records, financial reconciliation, asset disposition, outstanding commitments, donor reports and lessons learned are completed. Significant projects should undergo a proportionate evaluation considering relevance, effectiveness, efficiency, impact, sustainability, safeguarding and accountability.</w:t>
      </w:r>
    </w:p>
    <w:p>
      <w:pPr>
        <w:spacing w:after="40" w:line="240" w:lineRule="auto"/>
      </w:pPr>
      <w:r>
        <w:t>Unused restricted funds and assets shall be dealt with strictly in accordance with donor agreements, applicable law and UNCC approval.</w:t>
      </w:r>
    </w:p>
    <w:p>
      <w:pPr>
        <w:spacing w:before="120" w:after="20"/>
      </w:pPr>
      <w:r>
        <w:rPr>
          <w:b/>
          <w:color w:val="1F4E79"/>
          <w:sz w:val="20"/>
        </w:rPr>
        <w:t>23. RECORDS AND AUDIT</w:t>
      </w:r>
    </w:p>
    <w:p>
      <w:pPr>
        <w:spacing w:after="40" w:line="240" w:lineRule="auto"/>
      </w:pPr>
      <w:r>
        <w:t>UNCC shall maintain sufficient records to demonstrate how decisions were made, how resources were used, who benefited, what results were achieved and how risks were managed. Records must be available for lawful internal review, donor verification, independent audit or regulatory inspection subject to privacy and safeguarding restrictions.</w:t>
      </w:r>
    </w:p>
    <w:p>
      <w:pPr>
        <w:spacing w:before="120" w:after="20"/>
      </w:pPr>
      <w:r>
        <w:rPr>
          <w:b/>
          <w:color w:val="1F4E79"/>
          <w:sz w:val="20"/>
        </w:rPr>
        <w:t>24. BREACHES OF THIS POLICY</w:t>
      </w:r>
    </w:p>
    <w:p>
      <w:pPr>
        <w:spacing w:after="40" w:line="240" w:lineRule="auto"/>
      </w:pPr>
      <w:r>
        <w:t>Breaches may result in corrective action, withdrawal of delegated authority, suspension, disciplinary action, termination of employment/volunteer/contractor or partner arrangements, recovery of funds or assets, donor notification and referral to competent authorities where appropriate. Responses shall be fair, documented, proportionate and consistent with applicable law and contractual obligations.</w:t>
      </w:r>
    </w:p>
    <w:p>
      <w:pPr>
        <w:spacing w:before="120" w:after="20"/>
      </w:pPr>
      <w:r>
        <w:rPr>
          <w:b/>
          <w:color w:val="1F4E79"/>
          <w:sz w:val="20"/>
        </w:rPr>
        <w:t>25. RESPONSIBILITIES</w:t>
      </w:r>
    </w:p>
    <w:p>
      <w:pPr>
        <w:spacing w:after="20"/>
        <w:ind w:left="259" w:hanging="173"/>
      </w:pPr>
      <w:r>
        <w:rPr>
          <w:b/>
          <w:color w:val="1F4E79"/>
        </w:rPr>
        <w:t xml:space="preserve">• </w:t>
      </w:r>
      <w:r>
        <w:t>Board/Governing Authority: strategic oversight, approval of policy, material risk oversight and accountability for organisational governance.</w:t>
      </w:r>
    </w:p>
    <w:p>
      <w:pPr>
        <w:spacing w:after="20"/>
        <w:ind w:left="259" w:hanging="173"/>
      </w:pPr>
      <w:r>
        <w:rPr>
          <w:b/>
          <w:color w:val="1F4E79"/>
        </w:rPr>
        <w:t xml:space="preserve">• </w:t>
      </w:r>
      <w:r>
        <w:t>Executive Director: organisation-wide implementation, donor stewardship, major approvals and escalation of material risks.</w:t>
      </w:r>
    </w:p>
    <w:p>
      <w:pPr>
        <w:spacing w:after="20"/>
        <w:ind w:left="259" w:hanging="173"/>
      </w:pPr>
      <w:r>
        <w:rPr>
          <w:b/>
          <w:color w:val="1F4E79"/>
        </w:rPr>
        <w:t xml:space="preserve">• </w:t>
      </w:r>
      <w:r>
        <w:t>Country Directors: lawful country implementation, coordination, compliance, supervision and reporting.</w:t>
      </w:r>
    </w:p>
    <w:p>
      <w:pPr>
        <w:spacing w:after="20"/>
        <w:ind w:left="259" w:hanging="173"/>
      </w:pPr>
      <w:r>
        <w:rPr>
          <w:b/>
          <w:color w:val="1F4E79"/>
        </w:rPr>
        <w:t xml:space="preserve">• </w:t>
      </w:r>
      <w:r>
        <w:t>Project Managers: day-to-day project delivery, records, budget control, monitoring, risk management and reporting.</w:t>
      </w:r>
    </w:p>
    <w:p>
      <w:pPr>
        <w:spacing w:after="20"/>
        <w:ind w:left="259" w:hanging="173"/>
      </w:pPr>
      <w:r>
        <w:rPr>
          <w:b/>
          <w:color w:val="1F4E79"/>
        </w:rPr>
        <w:t xml:space="preserve">• </w:t>
      </w:r>
      <w:r>
        <w:t>Finance/Administration: financial controls, reconciliations, records, procurement support and audit readiness.</w:t>
      </w:r>
    </w:p>
    <w:p>
      <w:pPr>
        <w:spacing w:after="20"/>
        <w:ind w:left="259" w:hanging="173"/>
      </w:pPr>
      <w:r>
        <w:rPr>
          <w:b/>
          <w:color w:val="1F4E79"/>
        </w:rPr>
        <w:t xml:space="preserve">• </w:t>
      </w:r>
      <w:r>
        <w:t>Safeguarding/Protection Focals: safeguarding risk management, reporting pathways, referrals and survivor-centred response.</w:t>
      </w:r>
    </w:p>
    <w:p>
      <w:pPr>
        <w:spacing w:after="20"/>
        <w:ind w:left="259" w:hanging="173"/>
      </w:pPr>
      <w:r>
        <w:rPr>
          <w:b/>
          <w:color w:val="1F4E79"/>
        </w:rPr>
        <w:t xml:space="preserve">• </w:t>
      </w:r>
      <w:r>
        <w:t>All staff, volunteers and partners: comply with this Policy, protect beneficiaries and resources, disclose conflicts and report concerns.</w:t>
      </w:r>
    </w:p>
    <w:p>
      <w:pPr>
        <w:spacing w:before="120" w:after="20"/>
      </w:pPr>
      <w:r>
        <w:rPr>
          <w:b/>
          <w:color w:val="1F4E79"/>
          <w:sz w:val="20"/>
        </w:rPr>
        <w:t>26. POLICY REVIEW</w:t>
      </w:r>
    </w:p>
    <w:p>
      <w:pPr>
        <w:spacing w:after="40" w:line="240" w:lineRule="auto"/>
      </w:pPr>
      <w:r>
        <w:t>This Policy shall be reviewed at least every two years, or earlier following material legal, regulatory, donor or organisational change, a serious incident, audit finding or significant expansion of UNCC operations.</w:t>
      </w:r>
    </w:p>
    <w:p>
      <w:pPr>
        <w:spacing w:before="120" w:after="20"/>
      </w:pPr>
      <w:r>
        <w:rPr>
          <w:b/>
          <w:color w:val="1F4E79"/>
          <w:sz w:val="20"/>
        </w:rPr>
        <w:t>APPROVAL</w:t>
      </w:r>
    </w:p>
    <w:p>
      <w:pPr>
        <w:spacing w:after="40" w:line="240" w:lineRule="auto"/>
      </w:pPr>
      <w:r>
        <w:t>This Project Management Policy is adopted as an organisation-wide governance standard of United Nationals Countryless Children (UNCC).</w:t>
      </w:r>
    </w:p>
    <w:p>
      <w:pPr>
        <w:spacing w:after="40" w:line="240" w:lineRule="auto"/>
      </w:pPr>
      <w:r>
        <w:t>Approved by: ______________________________________</w:t>
        <w:br/>
        <w:t>Title: _____________________________________________</w:t>
        <w:br/>
        <w:t>Signature: _________________________________________</w:t>
        <w:br/>
        <w:t>Date: _____________________________________________</w:t>
        <w:br/>
        <w:t>Official Stamp: ____________________________________</w:t>
      </w:r>
    </w:p>
    <w:p>
      <w:pPr>
        <w:spacing w:before="120" w:after="20"/>
      </w:pPr>
      <w:r>
        <w:rPr>
          <w:b/>
          <w:color w:val="1F4E79"/>
          <w:sz w:val="20"/>
        </w:rPr>
        <w:t>RELATED UNCC POLICIES AND PROCEDURES</w:t>
      </w:r>
    </w:p>
    <w:p>
      <w:pPr>
        <w:spacing w:after="40" w:line="240" w:lineRule="auto"/>
      </w:pPr>
      <w:r>
        <w:t>This Policy should be read together with UNCC's Safeguarding/Child Protection, PSEA, Finance, Procurement, Anti-Fraud and Anti-Corruption, Conflict of Interest, Whistleblower, Data Protection/Privacy, Risk Management, Volunteer/Staff Code of Conduct, Complaints, Security, Vehicle/Transport, Monitoring and Evaluation, and Records Management policies and procedures, as adopted or updated from time to time.</w:t>
      </w:r>
    </w:p>
    <w:p>
      <w:pPr>
        <w:spacing w:before="160"/>
        <w:jc w:val="center"/>
      </w:pPr>
      <w:r>
        <w:rPr>
          <w:b/>
          <w:color w:val="1F4E79"/>
          <w:sz w:val="21"/>
        </w:rPr>
        <w:t>UNCC — SENIORS FIRST • LEAVING NO ONE BEHIND.</w:t>
      </w:r>
    </w:p>
    <w:sectPr w:rsidR="00FC693F" w:rsidRPr="0006063C" w:rsidSect="00034616">
      <w:headerReference w:type="default" r:id="rId9"/>
      <w:footerReference w:type="default" r:id="rId10"/>
      <w:headerReference w:type="first" r:id="rId12"/>
      <w:footerReference w:type="first" r:id="rId13"/>
      <w:pgSz w:w="11906" w:h="16838"/>
      <w:pgMar w:top="2232" w:right="1008" w:bottom="1037" w:left="1008" w:header="113" w:footer="11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jc w:val="center"/>
    </w:pPr>
    <w:r>
      <w:drawing>
        <wp:inline xmlns:a="http://schemas.openxmlformats.org/drawingml/2006/main" xmlns:pic="http://schemas.openxmlformats.org/drawingml/2006/picture">
          <wp:extent cx="7416000" cy="1209054"/>
          <wp:docPr id="1" name="Picture 1"/>
          <wp:cNvGraphicFramePr>
            <a:graphicFrameLocks noChangeAspect="1"/>
          </wp:cNvGraphicFramePr>
          <a:graphic>
            <a:graphicData uri="http://schemas.openxmlformats.org/drawingml/2006/picture">
              <pic:pic>
                <pic:nvPicPr>
                  <pic:cNvPr id="0" name="uncc_unhcr_footer.png"/>
                  <pic:cNvPicPr/>
                </pic:nvPicPr>
                <pic:blipFill>
                  <a:blip r:embed="rId2"/>
                  <a:stretch>
                    <a:fillRect/>
                  </a:stretch>
                </pic:blipFill>
                <pic:spPr>
                  <a:xfrm>
                    <a:off x="0" y="0"/>
                    <a:ext cx="7416000" cy="1209054"/>
                  </a:xfrm>
                  <a:prstGeom prst="rect"/>
                </pic:spPr>
              </pic:pic>
            </a:graphicData>
          </a:graphic>
        </wp:inline>
      </w:drawing>
    </w:r>
  </w:p>
  <w:p>
    <w:pPr>
      <w:spacing w:before="0" w:after="0"/>
      <w:jc w:val="center"/>
    </w:pPr>
    <w:r>
      <w:rPr>
        <w:sz w:val="14"/>
      </w:rPr>
      <w:t xml:space="preserve">UNCC - Uganda Driver Code of Conduct  |  Page </w:t>
    </w:r>
    <w:fldSimple w:instr="PAGE"/>
    <w:r>
      <w:rPr>
        <w:sz w:val="14"/>
      </w:rPr>
      <w:t xml:space="preserve"> of </w:t>
    </w:r>
    <w:fldSimple w:instr="NUMPAGES"/>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jc w:val="center"/>
    </w:pPr>
    <w:r>
      <w:drawing>
        <wp:inline xmlns:a="http://schemas.openxmlformats.org/drawingml/2006/main" xmlns:pic="http://schemas.openxmlformats.org/drawingml/2006/picture">
          <wp:extent cx="7416000" cy="2143962"/>
          <wp:docPr id="1" name="Picture 1"/>
          <wp:cNvGraphicFramePr>
            <a:graphicFrameLocks noChangeAspect="1"/>
          </wp:cNvGraphicFramePr>
          <a:graphic>
            <a:graphicData uri="http://schemas.openxmlformats.org/drawingml/2006/picture">
              <pic:pic>
                <pic:nvPicPr>
                  <pic:cNvPr id="0" name="uncc_unhcr_header.png"/>
                  <pic:cNvPicPr/>
                </pic:nvPicPr>
                <pic:blipFill>
                  <a:blip r:embed="rId3"/>
                  <a:stretch>
                    <a:fillRect/>
                  </a:stretch>
                </pic:blipFill>
                <pic:spPr>
                  <a:xfrm>
                    <a:off x="0" y="0"/>
                    <a:ext cx="7416000" cy="2143962"/>
                  </a:xfrm>
                  <a:prstGeom prst="rect"/>
                </pic:spPr>
              </pic:pic>
            </a:graphicData>
          </a:graphic>
        </wp:inline>
      </w:drawing>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ptos Display" w:hAnsi="Aptos Display"/>
      <w:b/>
      <w:bCs/>
      <w:color w:val="07558A"/>
      <w:sz w:val="34"/>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ascii="Aptos Display" w:hAnsi="Aptos Display"/>
      <w:b/>
      <w:bCs/>
      <w:color w:val="0A83C6"/>
      <w:sz w:val="25"/>
      <w:szCs w:val="26"/>
    </w:rPr>
  </w:style>
  <w:style w:type="paragraph" w:styleId="Heading3">
    <w:name w:val="heading 3"/>
    <w:basedOn w:val="Normal"/>
    <w:next w:val="Normal"/>
    <w:link w:val="Heading3Char"/>
    <w:uiPriority w:val="9"/>
    <w:unhideWhenUsed/>
    <w:qFormat/>
    <w:rsid w:val="00FC693F"/>
    <w:pPr>
      <w:keepNext/>
      <w:keepLines/>
      <w:spacing w:before="80" w:after="40"/>
      <w:outlineLvl w:val="2"/>
    </w:pPr>
    <w:rPr>
      <w:rFonts w:asciiTheme="majorHAnsi" w:eastAsiaTheme="majorEastAsia" w:hAnsiTheme="majorHAnsi" w:cstheme="majorBidi" w:ascii="Aptos Display" w:hAnsi="Aptos Display"/>
      <w:b/>
      <w:bCs/>
      <w:color w:val="17324D"/>
      <w:sz w:val="1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40" w:line="240" w:lineRule="auto" w:before="80"/>
      <w:contextualSpacing/>
    </w:pPr>
    <w:rPr>
      <w:rFonts w:asciiTheme="majorHAnsi" w:eastAsiaTheme="majorEastAsia" w:hAnsiTheme="majorHAnsi" w:cstheme="majorBidi" w:ascii="Aptos Display" w:hAnsi="Aptos Display"/>
      <w:b/>
      <w:color w:val="07558A"/>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3.png"/><Relationship Id="rId12" Type="http://schemas.openxmlformats.org/officeDocument/2006/relationships/header" Target="header2.xml"/><Relationship Id="rId13" Type="http://schemas.openxmlformats.org/officeDocument/2006/relationships/footer" Target="footer2.xml"/><Relationship Id="rId14" Type="http://schemas.openxmlformats.org/officeDocument/2006/relationships/image" Target="media/image7.pn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4.png"/><Relationship Id="rId3"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UNCC - UNHCR Partnership Submission - 29 September 2026</dc:title>
  <dc:subject>UNCC-UNHCR Partnership Meeting, Yoro UNHCR Office / DRC</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